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7.jpg" ContentType="image/jpeg"/>
  <Override PartName="/word/media/rId41.jpg" ContentType="image/jpeg"/>
  <Override PartName="/word/media/rId46.jpg" ContentType="image/jpeg"/>
  <Override PartName="/word/media/rId55.jpg" ContentType="image/jpeg"/>
  <Override PartName="/word/media/rId60.jpg" ContentType="image/jpeg"/>
  <Override PartName="/word/media/rId65.jpg" ContentType="image/jpeg"/>
  <Override PartName="/word/media/rId73.jpg" ContentType="image/jpeg"/>
  <Override PartName="/word/media/rId77.jpg" ContentType="image/jpeg"/>
  <Override PartName="/word/media/rId82.jpg" ContentType="image/jpeg"/>
  <Override PartName="/word/media/rId33.png" ContentType="image/png"/>
  <Override PartName="/word/media/rId69.png" ContentType="image/png"/>
  <Override PartName="/word/media/rId89.png" ContentType="image/png"/>
  <Override PartName="/word/media/rId100.png" ContentType="image/png"/>
  <Override PartName="/word/media/rId162.png" ContentType="image/png"/>
  <Override PartName="/word/media/rId167.png" ContentType="image/png"/>
  <Override PartName="/word/media/rId172.png" ContentType="image/png"/>
  <Override PartName="/word/media/rId178.png" ContentType="image/png"/>
  <Override PartName="/word/media/rId182.png" ContentType="image/png"/>
  <Override PartName="/word/media/rId110.png" ContentType="image/png"/>
  <Override PartName="/word/media/rId117.png" ContentType="image/png"/>
  <Override PartName="/word/media/rId135.png" ContentType="image/png"/>
  <Override PartName="/word/media/rId140.png" ContentType="image/png"/>
  <Override PartName="/word/media/rId144.png" ContentType="image/png"/>
  <Override PartName="/word/media/rId148.png" ContentType="image/png"/>
  <Override PartName="/word/media/rId152.png" ContentType="image/png"/>
  <Override PartName="/word/media/rId157.png" ContentType="image/png"/>
  <Override PartName="/word/media/rId105.png" ContentType="image/png"/>
  <Override PartName="/word/media/rId121.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 Oiry, S.,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 Oiry, S.,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End w:id="23"/>
    <w:bookmarkStart w:id="31" w:name="introduction-overview"/>
    <w:p>
      <w:pPr>
        <w:pStyle w:val="Heading1"/>
      </w:pPr>
      <w:r>
        <w:t xml:space="preserve">1. Introduction &amp; Overview</w:t>
      </w:r>
    </w:p>
    <w:bookmarkStart w:id="29" w:name="general-introduction"/>
    <w:p>
      <w:pPr>
        <w:pStyle w:val="Heading2"/>
      </w:pPr>
      <w:r>
        <w:t xml:space="preserve">1.1 General Introduction</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Additionally, they play a pivotal role in global trade and commerce while also offering cultural and recreational value. However, their popularity and utility make them highly vulnerable to environmental pressures such as pollution, habitat destruction, and climate change impacts like sea-level rise and coastal erosion. Effective management and sustainable practices are crucial to preserving their ecological integrity and ensuring long-term viability.</w:t>
      </w:r>
    </w:p>
    <w:p>
      <w:pPr>
        <w:pStyle w:val="BodyText"/>
      </w:pPr>
      <w:r>
        <w:t xml:space="preserve">Marine vegetative habitats in intertidal zones that are exposed at low tide (such as seagrass meadows, microphytobenthos, and macroalgae) are significantly impacted by human activities. Seagrass meadows are under threat due to various anthropogenic activities</w:t>
      </w:r>
      <w:r>
        <w:t xml:space="preserve"> </w:t>
      </w:r>
      <w:r>
        <w:t xml:space="preserve">(Len J. McKenzie et al., 2020a)</w:t>
      </w:r>
      <w:r>
        <w:t xml:space="preserve">, microphytobenthos are affected by the global decline of intertidal mudflats</w:t>
      </w:r>
      <w:r>
        <w:t xml:space="preserve"> </w:t>
      </w:r>
      <w:r>
        <w:t xml:space="preserve">(N. J. Murray et al., 2019)</w:t>
      </w:r>
      <w:r>
        <w:t xml:space="preserve">, and areas colonized by macroalgae may be reduced due to the expansion of wild oysters</w:t>
      </w:r>
      <w:r>
        <w:t xml:space="preserve"> </w:t>
      </w:r>
      <w:r>
        <w:t xml:space="preserve">(Le Bris et al., 2016)</w:t>
      </w:r>
      <w:r>
        <w:t xml:space="preserve">.</w:t>
      </w:r>
    </w:p>
    <w:p>
      <w:pPr>
        <w:pStyle w:val="BodyText"/>
      </w:pPr>
      <w:r>
        <w:t xml:space="preserve">These habitats provide vital ecological functions, including coastal erosion protection through root stabilization and sediment trapping (</w:t>
      </w:r>
      <w:r>
        <w:rPr>
          <w:b/>
          <w:bCs/>
        </w:rPr>
        <w:t xml:space="preserve">refs</w:t>
      </w:r>
      <w:r>
        <w:t xml:space="preserve">), mitigation of eutrophication effects by absorbing excess nutrients and improving water quality (</w:t>
      </w:r>
      <w:r>
        <w:rPr>
          <w:b/>
          <w:bCs/>
        </w:rPr>
        <w:t xml:space="preserve">refs</w:t>
      </w:r>
      <w:r>
        <w:t xml:space="preserve">), atmospheric CO2 fixation, contributing to carbon sequestration and combating climate change (</w:t>
      </w:r>
      <w:r>
        <w:rPr>
          <w:b/>
          <w:bCs/>
        </w:rPr>
        <w:t xml:space="preserve">refs</w:t>
      </w:r>
      <w:r>
        <w:t xml:space="preserve">), serving as biodiversity hotspots that support unique flora and fauna, providing feeding, breeding, and nursery grounds for various species. Despite their ecological significance, intertidal zones, particularly mudflats, are challenging to access, and traditional field sampling methods are too time- and labor-intensive to allow repeated observations over large areas. This limitation underscores the need for advanced monitoring technologies to better assess and protect these habitats.</w:t>
      </w:r>
    </w:p>
    <w:p>
      <w:pPr>
        <w:pStyle w:val="BodyText"/>
      </w:pPr>
      <w:r>
        <w:t xml:space="preserve">Intertidal habitats, at the interface between marine and terrestrial ecosystems, face significant pressures from both anthropogenic activities and natural forces affecting both realms. Human-induced threats include coastal development, pollution, overfishing, and habitat modification, which degrade these ecosystems and diminish the valuable ecosystem services they provide. Meanwhile, natural factors such as storms, sea-level rise, climatic extreme events and climate change exacerbate these pressures, altering the structure function, and resilience of intertidal habitats. Despite their ecological importance in supporting biodiversity, providing coastal protection, and contributing to nutrient cycling, intertidal habitats remain highly vulnerable. Addressing these challenges requires robust management practices, targeted conservation strategies, and ongoing monitoring to ensure their sustainability and resilience against future pressures.</w:t>
      </w:r>
    </w:p>
    <w:p>
      <w:pPr>
        <w:pStyle w:val="BodyText"/>
      </w:pPr>
      <w:r>
        <w:t xml:space="preserve">Regulatory frameworks, such as the Water Framework Directive (WFD) and the Marine Strategy Framework Directive (MSFD), emphasize the need for regular mapping of marine habitats to monitor ecological health. These directives utilize habitat diversity as a bioindicator of coastal and estuarine water quality</w:t>
      </w:r>
      <w:r>
        <w:t xml:space="preserve"> </w:t>
      </w:r>
      <w:r>
        <w:t xml:space="preserve">(Borja et al., 2013; Zoffoli et al., 2021a)</w:t>
      </w:r>
      <w:r>
        <w:t xml:space="preserve">.</w:t>
      </w:r>
    </w:p>
    <w:p>
      <w:pPr>
        <w:pStyle w:val="BodyText"/>
      </w:pPr>
      <w:r>
        <w:t xml:space="preserve">Satellite remote sensing has emerged as a promising tool for studying essential biodiversity variables in these habitats</w:t>
      </w:r>
      <w:r>
        <w:t xml:space="preserve"> </w:t>
      </w:r>
      <w:r>
        <w:t xml:space="preserve">(Pereira et al., 2013a; Skidmore et al., 2015)</w:t>
      </w:r>
      <w:r>
        <w:t xml:space="preserve">. Remote sensing offers several advantages over in situ sampling: repeated monitoring over large-scale coverage, high-frequency data acquisition, enabling seasonal and phenological studies, reduced costs and logistical challenges compared to field surveys, reconstruction of past conditions when used long time-series.</w:t>
      </w:r>
    </w:p>
    <w:p>
      <w:pPr>
        <w:pStyle w:val="BodyText"/>
      </w:pPr>
      <w:r>
        <w:t xml:space="preserve">However, past and current satellite missions lack optimal technical specifications (spatial, spectral, and temporal resolution) for full operational capability</w:t>
      </w:r>
      <w:r>
        <w:t xml:space="preserve"> </w:t>
      </w:r>
      <w:r>
        <w:t xml:space="preserve">(F. Muller-Karger et al., 2018)</w:t>
      </w:r>
      <w:r>
        <w:t xml:space="preserve">. For some habitats, multispectral resolution may be adequate under certain conditions</w:t>
      </w:r>
      <w:r>
        <w:t xml:space="preserve"> </w:t>
      </w:r>
      <w:r>
        <w:t xml:space="preserve">(Zoffoli et al., 2020a)</w:t>
      </w:r>
      <w:r>
        <w:t xml:space="preserve">, although risks of classification errors remain. For others, higher spectral resolution is necessary to distinguish taxonomically distinct groups of organisms</w:t>
      </w:r>
      <w:r>
        <w:t xml:space="preserve"> </w:t>
      </w:r>
      <w:r>
        <w:t xml:space="preserve">(S. Fyfe, 2003; Launeau et al., 2018; Méléder et al., 2018)</w:t>
      </w:r>
      <w:r>
        <w:t xml:space="preserve">. Identification relies partly on the presence of visible absorption bands associated with photosynthetic and accessory pigments, which can be detected and quantified using high-performance liquid chromatography</w:t>
      </w:r>
      <w:r>
        <w:t xml:space="preserve"> </w:t>
      </w:r>
      <w:r>
        <w:t xml:space="preserve">(A. Bargain et al., 2013a; Jesus et al., 2014; Méléder et al., 2005; Méléder et al., 2003)</w:t>
      </w:r>
      <w:r>
        <w:t xml:space="preserve">.</w:t>
      </w:r>
    </w:p>
    <w:bookmarkStart w:id="24" w:name="coastal-environment"/>
    <w:p>
      <w:pPr>
        <w:pStyle w:val="Heading3"/>
      </w:pPr>
      <w:r>
        <w:t xml:space="preserve">1.1.1 Coastal Environment</w:t>
      </w:r>
    </w:p>
    <w:bookmarkEnd w:id="24"/>
    <w:bookmarkStart w:id="28" w:name="concepts-of-remote-sensing"/>
    <w:p>
      <w:pPr>
        <w:pStyle w:val="Heading3"/>
      </w:pPr>
      <w:r>
        <w:t xml:space="preserve">1.1.2 Concepts of Remote sensing</w:t>
      </w:r>
    </w:p>
    <w:p>
      <w:pPr>
        <w:pStyle w:val="FirstParagraph"/>
      </w:pPr>
      <w:r>
        <w:t xml:space="preserve">Remote sensing (RS) defines the ability to retrieve information in a non-invasive way, without direct contact with the target. It relies on the propagation of signals, typically optical, acoustic, or microwave, between the target and the sensor. This technology is applied in a wide variety of fields, ranging from medical imaging to detect stem cells, to the analysis of the structure of the primordial universe</w:t>
      </w:r>
      <w:r>
        <w:t xml:space="preserve"> </w:t>
      </w:r>
      <w:r>
        <w:t xml:space="preserve">(Aghanim and Dole, 2020; Zhu et al., 2021)</w:t>
      </w:r>
      <w:r>
        <w:t xml:space="preserve">. Remote sensing is integral to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land use mapping.</w:t>
      </w:r>
    </w:p>
    <w:p>
      <w:pPr>
        <w:pStyle w:val="BodyText"/>
      </w:pPr>
      <w:r>
        <w:t xml:space="preserve">Coastal environments represent highly dynamic and sensitive ecosystems shaped by complex interactions between natural processes and human activities. Remote sensing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the quantification of spatial and temporal variations, informing evidence-based strategies for conservation and sustainable management.</w:t>
      </w:r>
    </w:p>
    <w:p>
      <w:pPr>
        <w:pStyle w:val="BodyText"/>
      </w:pPr>
      <w:r>
        <w:t xml:space="preserve">The following sections examine two complementary approaches within the field of remote sensing for Earth observation: active and passive remote sensing. Through examples focused on coastal monitoring, these sections will introduce the remote sensing methodologies employed in this work while outlining their respective advantages and challenges.</w:t>
      </w:r>
    </w:p>
    <w:bookmarkStart w:id="25" w:name="X1004611164fc8944b1a2e5c037f5b94a65abf23"/>
    <w:p>
      <w:pPr>
        <w:pStyle w:val="Heading4"/>
      </w:pPr>
      <w:r>
        <w:t xml:space="preserve">1.1.2.1 Active Remote Sensing, Exemple of the LiDAR</w:t>
      </w:r>
    </w:p>
    <w:p>
      <w:pPr>
        <w:pStyle w:val="FirstParagraph"/>
      </w:pPr>
      <w:r>
        <w:t xml:space="preserve">Active remote sensing is a technique in which a sensor emits its own energy—typically in the form of electromagnetic radiation—toward a target and measures the energy reflected or backscattered from that target. This method allows for the collection of data regardless of natural light conditions, enabling observations during both day and night and through various weather conditions.</w:t>
      </w:r>
    </w:p>
    <w:p>
      <w:pPr>
        <w:pStyle w:val="BodyText"/>
      </w:pPr>
      <w:r>
        <w:t xml:space="preserve">LiDAR, which stands for Light Detection and Ranging, uses laser light to measure distances to objects or surfaces. By emitting laser pulses and measuring the time it takes for them to reflect back from a target, LiDAR systems can create precise, three-dimensional representations of the environment.</w:t>
      </w:r>
    </w:p>
    <w:p>
      <w:pPr>
        <w:pStyle w:val="BodyText"/>
      </w:pPr>
      <w:r>
        <w:t xml:space="preserve">LiDAR works by emitting a beam of light and measuring the time it takes for the beam to return to the sensor. This process not only calculates distance but can also capture the intensity of the returned signal. In many instances, multiple returns from a single pulse are measured, which allows for mapping the different heights of objects within the same x and y coordinates. This capability is particularly useful for applications such as mapping the heights of trees in a forest or measuring crop heights in agricultural fields. When the height of the ground cannot be measured, LiDAR data can only generate a digital surface model (DSM), which represents the topmost layer of the environment. However, if multiple returns are recorded, it becomes possible to create both a DSM and a digital terrain model (DTM), which represents the ground surface, by differentiating between surface and underlying layers. The difference between DSM and DTM can be uses to assess living stock or biomass.</w:t>
      </w:r>
      <w:r>
        <w:t xml:space="preserve"> </w:t>
      </w:r>
      <w:r>
        <w:t xml:space="preserve">Achieving accuracy in LiDAR measurements is essential due to the high speed of light, approximately 300,000 km/s. Each step of the process, including the precise timing of the beam’s return and the accurate positioning of the sensor (typically mounted on a drone, aircraft, or satellite), must be meticulously calibrated. The use of Real-Time Kinematic (RTK) positioning ensures that the sensor’s x, y, and z coordinates are known with high precision at all times. Without these measures, the resulting data may produce a distorted and noisy representation of the mapped surface, rendering it unreliable for analysis.</w:t>
      </w:r>
    </w:p>
    <w:p>
      <w:pPr>
        <w:pStyle w:val="BodyText"/>
      </w:pPr>
      <w:r>
        <w:t xml:space="preserve">In coastal environment monitoring, LiDAR systems are distinguished by their emitted wavelengths, which dictate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spectrum (approximately 1000 nm), used for mapping terrestrial features such as beach contours, vegetation density, and man-made structures. Its ability to generate high-density point clouds stems from efficient operation at lower power. Unlike green LiDAR, near-infrared LiDAR does not require as much power, making it generally cheaper and smaller. These attributes allow topographic LiDAR systems to be easily mounted on drone platforms, enabling greater flexibility and accessibility for coastal monitoring. Conversely, bathymetric LiDAR, utilizing green wavelengths (~532 nm), penetrates water to reveal submerged landscapes, including coral reefs, seagrass meadows, and shallow seabeds. While this capability is indispensable for underwater mapping, its effectiveness on land is hindered by atmospheric scattering.</w:t>
      </w:r>
    </w:p>
    <w:p>
      <w:pPr>
        <w:pStyle w:val="BodyText"/>
      </w:pPr>
      <w:r>
        <w:t xml:space="preserve">Litto3D®</w:t>
      </w:r>
      <w:r>
        <w:t xml:space="preserve"> </w:t>
      </w:r>
      <w:r>
        <w:t xml:space="preserve">(SHOM, 2021)</w:t>
      </w:r>
      <w:r>
        <w:t xml:space="preserve">,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w:t>
      </w:r>
      <w:r>
        <w:t xml:space="preserve">, is an open-source dataset that exemplifies the integration of advanced remote sensing techniques to produce a seamless, high-resolution topographic model that bridges land and sea within France’s coastal regions. By employing both topographic and bathymetric Light Detection and Ranging (LiDAR) technologies during airborne missions, the system captures terrestrial and submerged terrain features with exceptional precision. The topographic LiDAR operates at resolutions as fine as 1 meter, achieving vertical accuracy within 20 centimeters under optimal conditions, such as minimal atmospheric interference, stable flight paths, and favorable weather conditions, while the bathymetric LiDAR effectively maps underwater landscapes down to depths of approximately 70 meters, depending on water clarity, including factors such as turbidity, sediment load, and the presence of organic matter in the water column. This dual-mode capability is essential for modeling complex coastal environments, ensuring the seamless integration of terrestrial and marine datasets. The airborne platform enables rapid data acquisition over extensive areas, overcoming challenges associated with ground-based or shipborne methods. The fusion methodology employed by Litto3D® ensures the precise alignment of terrestrial and marine datasets, addressing the challenges of inconsistent elevation data at land-water interfaces. This process results in a unified and accurate representation of coastal environments. This dataset is well-suited for diverse scientific and practical applications, including coastal risk assessment and ecological studies.</w:t>
      </w:r>
    </w:p>
    <w:p>
      <w:pPr>
        <w:pStyle w:val="BodyText"/>
      </w:pPr>
      <w:r>
        <w:t xml:space="preserve">In the present study, LiDAR data will be utilized in</w:t>
      </w:r>
      <w:r>
        <w:t xml:space="preserve"> </w:t>
      </w:r>
      <w:r>
        <w:rPr>
          <w:b/>
          <w:bCs/>
        </w:rPr>
        <w:t xml:space="preserve">Chapter 4</w:t>
      </w:r>
      <w:r>
        <w:t xml:space="preserve"> </w:t>
      </w:r>
      <w:r>
        <w:t xml:space="preserve">through a drone-borne infrared LiDAR system. This data will be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will be used in conjunction with a water height dataset to assess the emersion time of seagrass meadows in Quiberon, France, during low tide. As this thesis is focused on intertidal environement mapping, Field campaigns are conducted during low tide, as it provides optimal conditions for the effective use of Infrared LiDAR by ensuring unobstructed access to exposed intertidal zones.</w:t>
      </w:r>
    </w:p>
    <w:bookmarkEnd w:id="25"/>
    <w:bookmarkStart w:id="26" w:name="passive-remote-sensing"/>
    <w:p>
      <w:pPr>
        <w:pStyle w:val="Heading4"/>
      </w:pPr>
      <w:r>
        <w:t xml:space="preserve">1.1.2.2 Passive Remote Sensing</w:t>
      </w:r>
    </w:p>
    <w:p>
      <w:pPr>
        <w:pStyle w:val="FirstParagraph"/>
      </w:pPr>
      <w:r>
        <w:t xml:space="preserve">In contrast to active remote sensing, passive remote sensing is a method of collecting data about the Earth’s surface or atmosphere by measuring naturally emitted or reflected electromagnetic radiation without actively transmitting signals. This technique relies on external energy sources, such as sunlight, for optical and near-infrared sensors or Earth’s thermal emissions for thermal infrared sensors.</w:t>
      </w:r>
    </w:p>
    <w:p>
      <w:pPr>
        <w:pStyle w:val="BodyText"/>
      </w:pPr>
      <w:r>
        <w:t xml:space="preserve">Passive remote sensing is commonly utilized in spaceborne satellite missions. It has been integral to numerous missions developed by major space agencies such as the European Space Agency (ESA) and the National Aeronautics and Space Administration (NASA). For instance, the Sentinel-2 mission by ESA employs passive sensors to capture high-resolution optical images, measuring sunlight reflected by Earth’s surface at various wavelengths to monitor land and vegetation changes globally.</w:t>
      </w:r>
    </w:p>
    <w:p>
      <w:pPr>
        <w:pStyle w:val="BodyText"/>
      </w:pPr>
      <w:r>
        <w:t xml:space="preserve">Sunlight travels approximately eight minutes from the Sun’s surface to Earth, traversing the atmosphere upon arrival. The atmosphere, composed of various gases and particles, interacts with sunlight, altering its properties at specific wavelengths. These interactions include scattering, absorption, and refraction. Scattering occurs when atmospheric molecules and aerosols disperse light in different directions, often impacting shorter wavelengths like blue light more significantly. Absorption is caused by atmospheric constituents such as ozone, water vapor, and carbon dioxide, which absorb energy at particular wavelengths, reducing the intensity of the transmitted light. Refraction occurs as light changes direction and speed while passing through layers of the atmosphere with varying densities.</w:t>
      </w:r>
    </w:p>
    <w:p>
      <w:pPr>
        <w:pStyle w:val="BodyText"/>
      </w:pPr>
      <w:r>
        <w:t xml:space="preserve">Once sunlight reaches Earth’s surface, it exhibits several behaviors, depending on the surface properties and the angle of incidence. These behaviors include:</w:t>
      </w:r>
    </w:p>
    <w:p>
      <w:pPr>
        <w:numPr>
          <w:ilvl w:val="0"/>
          <w:numId w:val="1003"/>
        </w:numPr>
      </w:pPr>
      <w:r>
        <w:t xml:space="preserve">Reflection: The light is redirected back into the atmosphere without being absorbed by the surface. The amount of reflection depends on the surface’s albedo, with bright surfaces like snow reflecting more light compared to darker surfaces such as forests.</w:t>
      </w:r>
    </w:p>
    <w:p>
      <w:pPr>
        <w:numPr>
          <w:ilvl w:val="0"/>
          <w:numId w:val="1003"/>
        </w:numPr>
      </w:pPr>
      <w:r>
        <w:t xml:space="preserve">Absorption: The light is absorbed by the surface, converting it into heat or another form of energy. This process varies based on the material’s absorptive properties and its color,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pStyle w:val="FirstParagraph"/>
      </w:pPr>
      <w:r>
        <w:t xml:space="preserve">Only reflected light can be detected by spaceborne sensors, having undergone one final alteration by the atmosphere. The most commonly used metric in passive remote sensing is reflectance. Reflectance is typically defined as the ratio of reflected radiation to incoming radiation at a specific wavelength. This relationship can be expressed mathematically as follows:</w:t>
      </w:r>
    </w:p>
    <w:p>
      <w:pPr>
        <w:pStyle w:val="BodyText"/>
      </w:pPr>
      <m:oMathPara>
        <m:oMathParaPr>
          <m:jc m:val="center"/>
        </m:oMathParaPr>
        <m:oMath>
          <m:r>
            <m:t>R</m:t>
          </m:r>
          <m:d>
            <m:dPr>
              <m:begChr m:val="("/>
              <m:endChr m:val=")"/>
              <m:sepChr m:val=""/>
              <m:grow/>
            </m:dPr>
            <m:e>
              <m:r>
                <m:t>λ</m:t>
              </m:r>
            </m:e>
          </m:d>
          <m:r>
            <m:rPr>
              <m:sty m:val="p"/>
            </m:rPr>
            <m:t>=</m:t>
          </m:r>
          <m:f>
            <m:fPr>
              <m:type m:val="bar"/>
            </m:fPr>
            <m:num>
              <m:sSub>
                <m:e>
                  <m:r>
                    <m:t>L</m:t>
                  </m:r>
                </m:e>
                <m:sub>
                  <m:r>
                    <m:t>r</m:t>
                  </m:r>
                </m:sub>
              </m:sSub>
              <m:d>
                <m:dPr>
                  <m:begChr m:val="("/>
                  <m:endChr m:val=")"/>
                  <m:sepChr m:val=""/>
                  <m:grow/>
                </m:dPr>
                <m:e>
                  <m:r>
                    <m:t>λ</m:t>
                  </m:r>
                </m:e>
              </m:d>
            </m:num>
            <m:den>
              <m:sSub>
                <m:e>
                  <m:r>
                    <m:t>L</m:t>
                  </m:r>
                </m:e>
                <m:sub>
                  <m:r>
                    <m:t>i</m:t>
                  </m:r>
                </m:sub>
              </m:sSub>
              <m:d>
                <m:dPr>
                  <m:begChr m:val="("/>
                  <m:endChr m:val=")"/>
                  <m:sepChr m:val=""/>
                  <m:grow/>
                </m:dPr>
                <m:e>
                  <m:r>
                    <m:t>λ</m:t>
                  </m:r>
                </m:e>
              </m:d>
            </m:den>
          </m:f>
        </m:oMath>
      </m:oMathPara>
    </w:p>
    <w:p>
      <w:pPr>
        <w:pStyle w:val="FirstParagraph"/>
      </w:pPr>
      <w:r>
        <w:t xml:space="preserve">where:</w:t>
      </w:r>
    </w:p>
    <w:p>
      <w:pPr>
        <w:pStyle w:val="Compact"/>
        <w:numPr>
          <w:ilvl w:val="0"/>
          <w:numId w:val="1004"/>
        </w:numPr>
      </w:pPr>
      <m:oMath>
        <m:r>
          <m:t>R</m:t>
        </m:r>
        <m:d>
          <m:dPr>
            <m:begChr m:val="("/>
            <m:endChr m:val=")"/>
            <m:sepChr m:val=""/>
            <m:grow/>
          </m:dPr>
          <m:e>
            <m:r>
              <m:t>λ</m:t>
            </m:r>
          </m:e>
        </m:d>
      </m:oMath>
      <w:r>
        <w:t xml:space="preserve"> </w:t>
      </w:r>
      <w:r>
        <w:t xml:space="preserve">is the reflectance at the wavelength</w:t>
      </w:r>
      <w:r>
        <w:t xml:space="preserve"> </w:t>
      </w:r>
      <m:oMath>
        <m:r>
          <m:t>λ</m:t>
        </m:r>
      </m:oMath>
      <w:r>
        <w:br/>
      </w:r>
    </w:p>
    <w:p>
      <w:pPr>
        <w:pStyle w:val="Compact"/>
        <w:numPr>
          <w:ilvl w:val="0"/>
          <w:numId w:val="1004"/>
        </w:numPr>
      </w:pPr>
      <m:oMath>
        <m:sSub>
          <m:e>
            <m:r>
              <m:t>L</m:t>
            </m:r>
          </m:e>
          <m:sub>
            <m:r>
              <m:t>r</m:t>
            </m:r>
          </m:sub>
        </m:sSub>
        <m:d>
          <m:dPr>
            <m:begChr m:val="("/>
            <m:endChr m:val=")"/>
            <m:sepChr m:val=""/>
            <m:grow/>
          </m:dPr>
          <m:e>
            <m:r>
              <m:t>λ</m:t>
            </m:r>
          </m:e>
        </m:d>
      </m:oMath>
      <w:r>
        <w:t xml:space="preserve"> </w:t>
      </w:r>
      <w:r>
        <w:t xml:space="preserve">is the radiance reflected by the surface at wavelength</w:t>
      </w:r>
      <w:r>
        <w:t xml:space="preserve"> </w:t>
      </w:r>
      <m:oMath>
        <m:r>
          <m:t>λ</m:t>
        </m:r>
      </m:oMath>
    </w:p>
    <w:p>
      <w:pPr>
        <w:pStyle w:val="Compact"/>
        <w:numPr>
          <w:ilvl w:val="0"/>
          <w:numId w:val="1004"/>
        </w:numPr>
      </w:pPr>
      <m:oMath>
        <m:sSub>
          <m:e>
            <m:r>
              <m:t>L</m:t>
            </m:r>
          </m:e>
          <m:sub>
            <m:r>
              <m:t>i</m:t>
            </m:r>
          </m:sub>
        </m:sSub>
        <m:d>
          <m:dPr>
            <m:begChr m:val="("/>
            <m:endChr m:val=")"/>
            <m:sepChr m:val=""/>
            <m:grow/>
          </m:dPr>
          <m:e>
            <m:r>
              <m:t>λ</m:t>
            </m:r>
          </m:e>
        </m:d>
      </m:oMath>
      <w:r>
        <w:t xml:space="preserve"> </w:t>
      </w:r>
      <w:r>
        <w:t xml:space="preserve">is the incident radiance (or irradiance) at wavelength</w:t>
      </w:r>
      <w:r>
        <w:t xml:space="preserve"> </w:t>
      </w:r>
      <m:oMath>
        <m:r>
          <m:t>λ</m:t>
        </m:r>
      </m:oMath>
    </w:p>
    <w:p>
      <w:pPr>
        <w:pStyle w:val="FirstParagraph"/>
      </w:pPr>
      <w:r>
        <w:t xml:space="preserve">Reflectance is defined for each wavelength as a value between 0 and 1. A reflectance of 0 indicates that all light has been absorbed or transmitted by the target, while a reflectance of 1 indicates that all light has been reflected.</w:t>
      </w:r>
    </w:p>
    <w:p>
      <w:pPr>
        <w:pStyle w:val="BodyText"/>
      </w:pPr>
      <w:r>
        <w:t xml:space="preserve">However, reflectance cannot be directly used as measured by spaceborne sensors, as it contains signals originating from both the atmosphere and the target. This reflectance is commonly referred to as Top of Atmosphere (TOA) reflectance. TOA reflectance is useful for applications such as assessing aerosol concentrations in the atmosphere or implementing cloud detection algorithms.</w:t>
      </w:r>
    </w:p>
    <w:p>
      <w:pPr>
        <w:pStyle w:val="BodyText"/>
      </w:pPr>
      <w:r>
        <w:t xml:space="preserve">To study targets located on the Earth’s surface, the atmospheric effects on reflectance must be corrected. Atmospheric correction algorithms are applied to transform TOA reflectance into surface or Bottom of Atmosphere (BOA) reflectance, which represents the intrinsic reflectance properties of the surface target. BOA reflectance is crucial for accurately analyzing surface characteristics and for applications like vegetation monitoring, water quality assessment, and land cover classification, where precise surface reflectance values are essential.</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from optically deep water is entirely due to atmospheric effects. This information is then used to correct the reflectance across the entire scene. However, this method requires the presence of optically deep water bodies within the scene and assumes uniform aerosol concentrations across the scene. Such assumptions may be inaccurate, particularly for satellites with a wide field of view, such as MODIS, where a single image can cover a swath of 2,330 km. These limitations highlight the need for more advanced correction techniques that account for spatial variability in atmospheric properties.</w:t>
      </w:r>
    </w:p>
    <w:p>
      <w:pPr>
        <w:pStyle w:val="BodyText"/>
      </w:pPr>
      <w:r>
        <w:t xml:space="preserve">To address these challenges, space agencies have developed sophisticated atmospheric correction algorithms tailored to specific sensors and study areas, accounting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of the ESA constellation Sentinel-2 can be processed using Sen2Cor, a correction algorithm designed to produce BOA reflectance by incorporating atmospheric parameters such as water vapor, aerosols, and ozone concentrations. These advanced algorithms often rely on radiative transfer simulations and use ancillary data from onboard sensors or external sources to improve accuracy. Additionally, some atmospheric correction methods are customized for specific applications, such as the ocean color community, which employs algorithms specifically designed for water bodies. PolyMER or ACOLITE, for instance, are widely used atmospheric correction model that enhances water-leaving radiance retrieval, making it highly effective for monitoring aquatic ecosystems.</w:t>
      </w:r>
    </w:p>
    <w:p>
      <w:pPr>
        <w:pStyle w:val="BodyText"/>
      </w:pPr>
      <w:r>
        <w:t xml:space="preserve">After atmospheric correction, BOA reflectance provides information regarding light reflected by the target at various wavelengths. This phenomenon, referred to as the spectral signature, is a unique feature of each target type. Spectral signatures contain data about the physical and chemical properties of surfaces, forming the basis for remote sensing applications. By analyzing spectral signatures, scientists can identify and classify surface types, as well as derive insights into environmental changes and land-use dynamics. For example, Chlorophyll-a, a pigment commonly found in vegetation, plays a key role in defining the spectral signature of plant life. Chlorophyll-a absorbs light in specific regions of the electromagnetic spectrum, particularly in the blue region around 430 nm and the red region near 665 nm. These absorption characteristics shape the spectral signature of vegetation, resulting in minimal reflectance in these wavelength ranges. Consequently, these spectral features are important indicators in remote sensing studies, enabling the differentiation of vegetation types, assessment of their physiological health, and monitoring of ecological conditions over time.</w:t>
      </w:r>
    </w:p>
    <w:p>
      <w:pPr>
        <w:pStyle w:val="BodyText"/>
      </w:pPr>
      <w:r>
        <w:t xml:space="preserve">Spectral indices are mathematical combinations of reflectance values at specific wavelengths, designed to highlight particular surface characteristics. Vegetation indices, for example, leverage the distinct reflectance patterns of photosynthetic pigments. The Normalized Difference Vegetation Index (NDVI) is a widely used index based on the difference between near-infrared (NIR) and red reflectance values. It is calculated as:</w:t>
      </w:r>
    </w:p>
    <w:p>
      <w:pPr>
        <w:pStyle w:val="BodyText"/>
      </w:pPr>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oMath>
      </m:oMathPara>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p>
      <w:pPr>
        <w:pStyle w:val="BodyText"/>
      </w:pPr>
      <w:r>
        <w:t xml:space="preserve">NDVI values range from -1 to +1, with negative values indicating water and higher positive values corresponding to denser vegetation. While NDVI serves as a proxy for vegetation biomass and photosynthetic activity, its interpretation can be complex in heterogeneous environments, such as areas with overlapping vegetation types or substrates.</w:t>
      </w:r>
      <w:r>
        <w:t xml:space="preserve"> </w:t>
      </w:r>
      <w:r>
        <w:rPr>
          <w:b/>
          <w:bCs/>
        </w:rPr>
        <w:t xml:space="preserve">make a link with one of the objective of the thesis, that aims to develop new methods to distinguish vegetation, that doesn’t rely only on threshold of spectral indices.</w:t>
      </w:r>
      <w:r>
        <w:rPr>
          <w:b/>
          <w:bCs/>
        </w:rPr>
        <w:t xml:space="preserve"> </w:t>
      </w:r>
      <w:r>
        <w:rPr>
          <w:b/>
          <w:bCs/>
        </w:rPr>
        <w:t xml:space="preserve">(Oiry and Barillé, 2021a)</w:t>
      </w:r>
      <w:r>
        <w:t xml:space="preserve">.</w:t>
      </w:r>
    </w:p>
    <w:p>
      <w:pPr>
        <w:pStyle w:val="BodyText"/>
      </w:pPr>
      <w:r>
        <w:t xml:space="preserve">BOA reflectance can be used to identify key absorption features of chemical compounds of the traget, by applying derivative on the spectral signature. The second derivative of the reflectance spectrum is utilized to enhance the detection of subtle pigment absorption features. By analyzing the second derivative, small variations in reflectance due to specific pigments can be amplified, allowing for a more precise estimation of pigment concentrations and distribution. This approach is particularly effective for identifying accessory pigments that have weaker absorption features compared to chlorophyll-a.</w:t>
      </w:r>
    </w:p>
    <w:p>
      <w:pPr>
        <w:pStyle w:val="Compact"/>
        <w:numPr>
          <w:ilvl w:val="0"/>
          <w:numId w:val="1005"/>
        </w:numPr>
      </w:pPr>
      <w:r>
        <w:rPr>
          <w:b/>
          <w:bCs/>
        </w:rPr>
        <w:t xml:space="preserve">Speak about</w:t>
      </w:r>
      <w:r>
        <w:rPr>
          <w:b/>
          <w:bCs/>
        </w:rPr>
        <w:t xml:space="preserve"> </w:t>
      </w:r>
      <w:r>
        <w:rPr>
          <w:b/>
          <w:bCs/>
          <w:i/>
          <w:iCs/>
        </w:rPr>
        <w:t xml:space="preserve">in situ</w:t>
      </w:r>
      <w:r>
        <w:rPr>
          <w:b/>
          <w:bCs/>
        </w:rPr>
        <w:t xml:space="preserve"> </w:t>
      </w:r>
      <w:r>
        <w:rPr>
          <w:b/>
          <w:bCs/>
        </w:rPr>
        <w:t xml:space="preserve">spectroradiometry</w:t>
      </w:r>
    </w:p>
    <w:p>
      <w:pPr>
        <w:pStyle w:val="FirstParagraph"/>
      </w:pPr>
      <w:r>
        <w:t xml:space="preserve">Finally, a distinction can be made between high-altitude remote sensing and low-altitude remote sensing. Low-altitude remote sensing refers to the acquisition of spectral signatures at a distance of no more than 120 meters from the target, in compliance with European regulations on the maximum flight height for Unmanned Aerial Vehicles (UAVs). This contrasts with high-altitude remote sensing, which involves plane-borne and space-borne sensors. The distinction is important due to significant differences in calibration methods for reflectance measurements, as well as variations in temporal, and above all, spatial resolution.</w:t>
      </w:r>
    </w:p>
    <w:p>
      <w:pPr>
        <w:pStyle w:val="BodyText"/>
      </w:pPr>
      <w:r>
        <w:t xml:space="preserve">Reflectance calibration methods differ significantly between satellite-based remote sensing and in situ measurements using a Spectralon panel. For satellite sensors, reflectance calibration relies on pre-launch laboratory calibration and post-launch vicarious calibration, which uses known surface targets or atmospheric correction algorithms to account for sensor degradation, atmospheric effects, and viewing geometry. In contrast, in situ calibration with a Spectralon panel involves direct measurement of reflected light from a calibrated reference target with known reflectance properties, typically conducted under controlled conditions near the target area. This method ensures precise ground-truth data, providing high accuracy for reflectance measurements by eliminating the influence of atmospheric scattering and absorption, which are significant factors in satellite-based calibration.</w:t>
      </w:r>
    </w:p>
    <w:p>
      <w:pPr>
        <w:pStyle w:val="BodyText"/>
      </w:pPr>
      <w:r>
        <w:t xml:space="preserve">Temporal resolution, defined as the time interval between successive image acquisitions over the same study site, varies significantly between low-altitude and high-altitude sensors. Satellites used for Earth observation are typically placed in low heliosynchronous orbits, allowing them to regularly revisit the same area of the Earth. For instance, the Sentinel-2 constellation offers a temporal resolution of 5 days at the equator, which decreases to as little as 3 days at higher latitudes, such as in France. Certain missions, like the Sentinel-3 constellation, achieve even shorter revisit times, often less than a day. In contrast, low-altitude sensors are generally operated on-demand, with data acquisition often initiated directly by the user.</w:t>
      </w:r>
    </w:p>
    <w:p>
      <w:pPr>
        <w:pStyle w:val="BodyText"/>
      </w:pPr>
      <w:r>
        <w:t xml:space="preserve">Spatial resolution, defined as the ground area represented by a single pixel, differs significantly between low-altitude and high-altitude sensors. Satellite remote sensing can cover vast areas, often spanning millions of square kilometers, and capture data at the scale of entire countries in a single image. The spatial resolution of a sensor is directly influenced by its field of view, and while some satellites achieve resolutions as fine as 30 cm per pixel (e.g., Pleiades-Neo), this can pose challenges for accurately mapping complex ecosystems. For example, in scenarios involving mixed vegetation types, the inability to capture fine-scale heterogeneity can limit the accuracy of analyses.</w:t>
      </w:r>
    </w:p>
    <w:p>
      <w:pPr>
        <w:pStyle w:val="BodyText"/>
      </w:pPr>
      <w:r>
        <w:t xml:space="preserve">In such challenging scenarios, low-altitude remote sensing offers a complementary approach by acquiring millions of pixels over smaller areas, achieving spatial resolutions at the millimeter scale. This level of detail enables more precise mapping of complex and heterogeneous ecosystems.</w:t>
      </w:r>
    </w:p>
    <w:bookmarkEnd w:id="26"/>
    <w:bookmarkStart w:id="27" w:name="X6e0637a84264a80c0e5f6545e17679d348073aa"/>
    <w:p>
      <w:pPr>
        <w:pStyle w:val="Heading4"/>
      </w:pPr>
      <w:r>
        <w:t xml:space="preserve">1.1.2.3 Remote Sensing applied to Coastal monitoring</w:t>
      </w:r>
    </w:p>
    <w:p>
      <w:pPr>
        <w:pStyle w:val="Compact"/>
        <w:numPr>
          <w:ilvl w:val="0"/>
          <w:numId w:val="1006"/>
        </w:numPr>
      </w:pPr>
      <w:r>
        <w:t xml:space="preserve">EOV EBV</w:t>
      </w:r>
    </w:p>
    <w:p>
      <w:pPr>
        <w:pStyle w:val="Compact"/>
        <w:numPr>
          <w:ilvl w:val="0"/>
          <w:numId w:val="1006"/>
        </w:numPr>
      </w:pPr>
      <w:r>
        <w:t xml:space="preserve">Muller-Karger</w:t>
      </w:r>
    </w:p>
    <w:bookmarkEnd w:id="27"/>
    <w:bookmarkEnd w:id="28"/>
    <w:bookmarkEnd w:id="29"/>
    <w:bookmarkStart w:id="30" w:name="overview"/>
    <w:p>
      <w:pPr>
        <w:pStyle w:val="Heading2"/>
      </w:pPr>
      <w:r>
        <w:t xml:space="preserve">1.2 Overview</w:t>
      </w:r>
    </w:p>
    <w:p>
      <w:pPr>
        <w:pStyle w:val="FirstParagraph"/>
      </w:pPr>
      <w:r>
        <w:t xml:space="preserve">Discriminating between different types of intertidal vegetation using remote sensing poses significant challendes due to overlapping spectral signature in the visible and near-infrared spectral regions caused by similar pigment compositions. This issue is particularly pronounced when comparing green macroalgae and seagrass. In addition to chlorophyll-a, a pigment found in all vegetal cells, both green macroalgae and seagrass share the same accessory pigments such as chlorophyll-b and carotenoids. These shared pigments pronounce analogous reflectance patterns, making it difficult to differentiate between these vegetation types using conventional remote sensing techniques, espacially in heterogenous habitats where these species often co exist.Despite these challenges, advances in spectral resolution and machine learning provide avenues for improved classification.</w:t>
      </w:r>
    </w:p>
    <w:p>
      <w:pPr>
        <w:pStyle w:val="BodyText"/>
      </w:pPr>
      <w:r>
        <w:rPr>
          <w:b/>
          <w:bCs/>
        </w:rPr>
        <w:t xml:space="preserve">Chapter 2</w:t>
      </w:r>
      <w:r>
        <w:t xml:space="preserve"> </w:t>
      </w:r>
      <w:r>
        <w:t xml:space="preserve">establishes the foundation by presenting a proof-of-concept study that demonstrates the feasibility of distinguising different types of vegetation using remote sensing. It demonstrates that this technique can effectively separate green macroalgae from seagrasses. By employing both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the proof of concept,</w:t>
      </w:r>
      <w:r>
        <w:t xml:space="preserve"> </w:t>
      </w:r>
      <w:r>
        <w:rPr>
          <w:b/>
          <w:bCs/>
        </w:rPr>
        <w:t xml:space="preserve">Chapter 3</w:t>
      </w:r>
      <w:r>
        <w:t xml:space="preserve"> </w:t>
      </w:r>
      <w:r>
        <w:t xml:space="preserve">focuses on the development of a robust algorithm called DISCOV v1.0, capable of automating the discrimination of green macrophytes in heterogeneous intertidal habitats. Utilizing high-resolution multispectral drone imagery and advanced machine 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remote sensing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 G. vermiculophylla provide valuable implications for managing invasive species and conserving native biodiversity.</w:t>
      </w:r>
    </w:p>
    <w:p>
      <w:pPr>
        <w:pStyle w:val="BodyText"/>
      </w:pPr>
      <w:r>
        <w:t xml:space="preserve">Finally,</w:t>
      </w:r>
      <w:r>
        <w:t xml:space="preserve"> </w:t>
      </w: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validations,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remote sensing in assessing the resilience and vulnerability of intertidal ecosystems under climate change.</w:t>
      </w:r>
    </w:p>
    <w:bookmarkEnd w:id="30"/>
    <w:bookmarkEnd w:id="31"/>
    <w:bookmarkStart w:id="98" w:name="X5946039c2941aedea9148f0862d7b582029c549"/>
    <w:p>
      <w:pPr>
        <w:pStyle w:val="Heading1"/>
      </w:pPr>
      <w:r>
        <w:t xml:space="preserve">2. Hyperspectral classification of intertidal vegetation for coastal biodiversity</w:t>
      </w:r>
    </w:p>
    <w:bookmarkStart w:id="32" w:name="introduction"/>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Nicholas J.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2022)</w:t>
      </w:r>
      <w:r>
        <w:t xml:space="preserve">, and reserves and nurseries for fisheries</w:t>
      </w:r>
      <w:r>
        <w:t xml:space="preserve"> </w:t>
      </w:r>
      <w:r>
        <w:t xml:space="preserve">(Gardner and Finlayson, 2018a)</w:t>
      </w:r>
      <w:r>
        <w:t xml:space="preserve">. However, the significant roles of intertidal areas for biodiversity and the ecosystem services they provide are not universally known</w:t>
      </w:r>
      <w:r>
        <w:t xml:space="preserve"> </w:t>
      </w:r>
      <w:r>
        <w:t xml:space="preserve">(Reddin et al., 2022; Unsworth et al., 2022a; Unsworth et al., 2019a, 2019b)</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Nicholas J.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2018a)</w:t>
      </w:r>
      <w:r>
        <w:t xml:space="preserve">.</w:t>
      </w:r>
    </w:p>
    <w:p>
      <w:pPr>
        <w:pStyle w:val="BodyText"/>
      </w:pPr>
      <w:r>
        <w:t xml:space="preserve">To reduce these impacts and improve the protection of intertidal areas, several measures have been implemented over the past decades in Europe, such as the Water Framework Directive</w:t>
      </w:r>
      <w:r>
        <w:t xml:space="preserve"> </w:t>
      </w:r>
      <w:r>
        <w:t xml:space="preserve">(WFD, Parliament and Council, 2001)</w:t>
      </w:r>
      <w:r>
        <w:t xml:space="preserve">, and the Marine Strategy Framework Directive</w:t>
      </w:r>
      <w:r>
        <w:t xml:space="preserve"> </w:t>
      </w:r>
      <w:r>
        <w:t xml:space="preserve">(MSFD, 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2019a)</w:t>
      </w:r>
      <w:r>
        <w:t xml:space="preserve">. Providing updated and accurate maps of intertidal areas is a prerequisite to addressing such challenges</w:t>
      </w:r>
      <w:r>
        <w:t xml:space="preserve"> </w:t>
      </w:r>
      <w:r>
        <w:t xml:space="preserve">(Len J. McKenzie et al., 2020b)</w:t>
      </w:r>
      <w:r>
        <w:t xml:space="preserve">. However, the traditional methods for mapping rely on field surveys to estimate species abundance, biomass and habitat surface, which are time-consuming and labor-intensive</w:t>
      </w:r>
      <w:r>
        <w:t xml:space="preserve"> </w:t>
      </w:r>
      <w:r>
        <w:t xml:space="preserve">(Nijland et al., 2019a;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2020a)</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Essential Biodiversity Variables (EBVs) in coastal ecosystems, such as species traits or ecosystem structure and function</w:t>
      </w:r>
      <w:r>
        <w:t xml:space="preserve"> </w:t>
      </w:r>
      <w:r>
        <w:t xml:space="preserve">(Frank E. Muller-Karger et al., 2018a; Pereira et al., 2013b)</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2021b)</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PRecursore IperSpettrale della Missione Applicativa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2020a)</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2022, 2020c)</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2020a)</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2021b)</w:t>
      </w:r>
      <w:r>
        <w:t xml:space="preserve">. Other taxonomic classes common in intertidal soft-bottom environments such as Xanthophyceae and Bacillariophyceae could also be confused with seagrass when present at low cover</w:t>
      </w:r>
      <w:r>
        <w:t xml:space="preserve"> </w:t>
      </w:r>
      <w:r>
        <w:t xml:space="preserve">(Zoffoli et al., 2020c)</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(S. K. Fyfe, 2003)</w:t>
      </w:r>
      <w:r>
        <w:t xml:space="preserve"> </w:t>
      </w:r>
      <w:r>
        <w:t xml:space="preserve">or to differentiate seagrass from other nearshore vegetation types</w:t>
      </w:r>
      <w:r>
        <w:t xml:space="preserve"> </w:t>
      </w:r>
      <w:r>
        <w:t xml:space="preserve">(Légaré et al., 2022a)</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remote sensing.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machine learning algorithms were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32"/>
    <w:bookmarkStart w:id="54" w:name="materials-and-methods"/>
    <w:p>
      <w:pPr>
        <w:pStyle w:val="Heading2"/>
      </w:pPr>
      <w:r>
        <w:t xml:space="preserve">2.2 Materials and Methods</w:t>
      </w:r>
    </w:p>
    <w:bookmarkStart w:id="45"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36"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34" name="Picture"/>
                  <a:graphic>
                    <a:graphicData uri="http://schemas.openxmlformats.org/drawingml/2006/picture">
                      <pic:pic>
                        <pic:nvPicPr>
                          <pic:cNvPr descr="Chapter2/Figs/SPECIESTABLE.png" id="35" name="Picture"/>
                          <pic:cNvPicPr>
                            <a:picLocks noChangeArrowheads="1" noChangeAspect="1"/>
                          </pic:cNvPicPr>
                        </pic:nvPicPr>
                        <pic:blipFill>
                          <a:blip r:embed="rId33"/>
                          <a:stretch>
                            <a:fillRect/>
                          </a:stretch>
                        </pic:blipFill>
                        <pic:spPr bwMode="auto">
                          <a:xfrm>
                            <a:off x="0" y="0"/>
                            <a:ext cx="5646420" cy="3556919"/>
                          </a:xfrm>
                          <a:prstGeom prst="rect">
                            <a:avLst/>
                          </a:prstGeom>
                          <a:noFill/>
                          <a:ln w="9525">
                            <a:noFill/>
                            <a:headEnd/>
                            <a:tailEnd/>
                          </a:ln>
                        </pic:spPr>
                      </pic:pic>
                    </a:graphicData>
                  </a:graphic>
                </wp:inline>
              </w:drawing>
            </w:r>
          </w:p>
          <w:bookmarkEnd w:id="36"/>
        </w:tc>
      </w:tr>
    </w:tbl>
    <w:tbl>
      <w:tblPr>
        <w:tblStyle w:val="Table"/>
        <w:tblW w:type="pct" w:w="5000"/>
        <w:tblLayout w:type="fixed"/>
        <w:tblLook w:firstRow="0" w:lastRow="0" w:firstColumn="0" w:lastColumn="0" w:noHBand="0" w:noVBand="0" w:val="0000"/>
      </w:tblPr>
      <w:tblGrid>
        <w:gridCol w:w="7920"/>
      </w:tblGrid>
      <w:tr>
        <w:tc>
          <w:tcPr/>
          <w:bookmarkStart w:id="40" w:name="fig-Images"/>
          <w:p>
            <w:pPr>
              <w:pStyle w:val="Compact"/>
              <w:jc w:val="center"/>
            </w:pPr>
            <w:r>
              <w:drawing>
                <wp:inline>
                  <wp:extent cx="5401056" cy="3444240"/>
                  <wp:effectExtent b="0" l="0" r="0" t="0"/>
                  <wp:docPr descr="" title="" id="38" name="Picture"/>
                  <a:graphic>
                    <a:graphicData uri="http://schemas.openxmlformats.org/drawingml/2006/picture">
                      <pic:pic>
                        <pic:nvPicPr>
                          <pic:cNvPr descr="Chapter2/Figs/Figure1.jpg" id="39" name="Picture"/>
                          <pic:cNvPicPr>
                            <a:picLocks noChangeArrowheads="1" noChangeAspect="1"/>
                          </pic:cNvPicPr>
                        </pic:nvPicPr>
                        <pic:blipFill>
                          <a:blip r:embed="rId37"/>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(Fucus vesiculosus), b: Magnoliopsida (Zostera noltei), c: Ulvophyceae (Ulva linza), d: Bacillariophyceae (Diatoms) and e: Xanthophyceae (Vaucheria spp.)). Scale bars show approximate scale.</w:t>
            </w:r>
          </w:p>
          <w:bookmarkEnd w:id="40"/>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2020c)</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2020c)</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44" w:name="fig-FIGMAP"/>
          <w:p>
            <w:pPr>
              <w:pStyle w:val="Compact"/>
              <w:jc w:val="center"/>
            </w:pPr>
            <w:r>
              <w:drawing>
                <wp:inline>
                  <wp:extent cx="5466283" cy="5027371"/>
                  <wp:effectExtent b="0" l="0" r="0" t="0"/>
                  <wp:docPr descr="" title="" id="42" name="Picture"/>
                  <a:graphic>
                    <a:graphicData uri="http://schemas.openxmlformats.org/drawingml/2006/picture">
                      <pic:pic>
                        <pic:nvPicPr>
                          <pic:cNvPr descr="Chapter2/Figs/Figure2.jpg" id="43" name="Picture"/>
                          <pic:cNvPicPr>
                            <a:picLocks noChangeArrowheads="1" noChangeAspect="1"/>
                          </pic:cNvPicPr>
                        </pic:nvPicPr>
                        <pic:blipFill>
                          <a:blip r:embed="rId41"/>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44"/>
        </w:tc>
      </w:tr>
    </w:tbl>
    <w:bookmarkEnd w:id="45"/>
    <w:bookmarkStart w:id="53" w:name="data-analysis"/>
    <w:p>
      <w:pPr>
        <w:pStyle w:val="Heading3"/>
      </w:pPr>
      <w:r>
        <w:t xml:space="preserve">2.2.2 Data Analysis</w:t>
      </w:r>
    </w:p>
    <w:bookmarkStart w:id="50"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sensors.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2020c)</w:t>
      </w:r>
      <w:r>
        <w:t xml:space="preserve">. To degrade the ASD library to the PRISMA spectral resolution, only central wavelengths and bandwidths (from 400 to 900 nm) were obtained from the Agenzia Spaziale Italiana</w:t>
      </w:r>
      <w:r>
        <w:t xml:space="preserve"> </w:t>
      </w:r>
      <w:r>
        <w:t xml:space="preserve">(ASI, 2020)</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49" w:name="fig-SpectraDegFIG"/>
          <w:p>
            <w:pPr>
              <w:pStyle w:val="Compact"/>
              <w:jc w:val="center"/>
            </w:pPr>
            <w:r>
              <w:drawing>
                <wp:inline>
                  <wp:extent cx="5646420" cy="5741879"/>
                  <wp:effectExtent b="0" l="0" r="0" t="0"/>
                  <wp:docPr descr="" title="" id="47" name="Picture"/>
                  <a:graphic>
                    <a:graphicData uri="http://schemas.openxmlformats.org/drawingml/2006/picture">
                      <pic:pic>
                        <pic:nvPicPr>
                          <pic:cNvPr descr="Chapter2/Figs/Figure3.jpg" id="48" name="Picture"/>
                          <pic:cNvPicPr>
                            <a:picLocks noChangeArrowheads="1" noChangeAspect="1"/>
                          </pic:cNvPicPr>
                        </pic:nvPicPr>
                        <pic:blipFill>
                          <a:blip r:embed="rId46"/>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49"/>
        </w:tc>
      </w:tr>
    </w:tbl>
    <w:bookmarkEnd w:id="50"/>
    <w:bookmarkStart w:id="51"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oMath>
      </m:oMathPara>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51"/>
    <w:bookmarkStart w:id="52"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2024)</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2023;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52"/>
    <w:bookmarkEnd w:id="53"/>
    <w:bookmarkEnd w:id="54"/>
    <w:bookmarkStart w:id="87" w:name="results"/>
    <w:p>
      <w:pPr>
        <w:pStyle w:val="Heading2"/>
      </w:pPr>
      <w:r>
        <w:t xml:space="preserve">2.3 Results</w:t>
      </w:r>
    </w:p>
    <w:bookmarkStart w:id="59"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chlorophyll</w:t>
      </w:r>
      <w:r>
        <w:t xml:space="preserve"> </w:t>
      </w:r>
      <w:r>
        <w:rPr>
          <w:i/>
          <w:iCs/>
        </w:rPr>
        <w:t xml:space="preserve">a</w:t>
      </w:r>
      <w:r>
        <w:t xml:space="preserve"> </w:t>
      </w:r>
      <w:r>
        <w:t xml:space="preserve">while at 630 nm a smaller absorption band for the Bacillariophyceae and the Xanthophyceae corresponded to chlorophyll</w:t>
      </w:r>
      <w:r>
        <w:t xml:space="preserve"> </w:t>
      </w:r>
      <w:r>
        <w:rPr>
          <w:i/>
          <w:iCs/>
        </w:rPr>
        <w:t xml:space="preserve">c</w:t>
      </w:r>
      <w:r>
        <w:t xml:space="preserve">.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58" w:name="fig-SpectraFIG"/>
          <w:p>
            <w:pPr>
              <w:pStyle w:val="Compact"/>
              <w:jc w:val="center"/>
            </w:pPr>
            <w:r>
              <w:drawing>
                <wp:inline>
                  <wp:extent cx="4572000" cy="4511649"/>
                  <wp:effectExtent b="0" l="0" r="0" t="0"/>
                  <wp:docPr descr="" title="" id="56" name="Picture"/>
                  <a:graphic>
                    <a:graphicData uri="http://schemas.openxmlformats.org/drawingml/2006/picture">
                      <pic:pic>
                        <pic:nvPicPr>
                          <pic:cNvPr descr="Chapter2/Figs/Figure4.jpg" id="57" name="Picture"/>
                          <pic:cNvPicPr>
                            <a:picLocks noChangeArrowheads="1" noChangeAspect="1"/>
                          </pic:cNvPicPr>
                        </pic:nvPicPr>
                        <pic:blipFill>
                          <a:blip r:embed="rId55"/>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58"/>
        </w:tc>
      </w:tr>
    </w:tbl>
    <w:bookmarkEnd w:id="59"/>
    <w:bookmarkStart w:id="64"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63" w:name="fig-MDSFIG"/>
          <w:p>
            <w:pPr>
              <w:pStyle w:val="Compact"/>
              <w:jc w:val="center"/>
            </w:pPr>
            <w:r>
              <w:drawing>
                <wp:inline>
                  <wp:extent cx="5241340" cy="5186476"/>
                  <wp:effectExtent b="0" l="0" r="0" t="0"/>
                  <wp:docPr descr="" title="" id="61" name="Picture"/>
                  <a:graphic>
                    <a:graphicData uri="http://schemas.openxmlformats.org/drawingml/2006/picture">
                      <pic:pic>
                        <pic:nvPicPr>
                          <pic:cNvPr descr="Chapter2/Figs/Figure5.jpg" id="62" name="Picture"/>
                          <pic:cNvPicPr>
                            <a:picLocks noChangeArrowheads="1" noChangeAspect="1"/>
                          </pic:cNvPicPr>
                        </pic:nvPicPr>
                        <pic:blipFill>
                          <a:blip r:embed="rId60"/>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63"/>
        </w:tc>
      </w:tr>
    </w:tbl>
    <w:bookmarkEnd w:id="64"/>
    <w:bookmarkStart w:id="81"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68" w:name="fig-MetricsFIG"/>
          <w:p>
            <w:pPr>
              <w:pStyle w:val="Compact"/>
              <w:jc w:val="center"/>
            </w:pPr>
            <w:r>
              <w:drawing>
                <wp:inline>
                  <wp:extent cx="4998110" cy="5012740"/>
                  <wp:effectExtent b="0" l="0" r="0" t="0"/>
                  <wp:docPr descr="" title="" id="66" name="Picture"/>
                  <a:graphic>
                    <a:graphicData uri="http://schemas.openxmlformats.org/drawingml/2006/picture">
                      <pic:pic>
                        <pic:nvPicPr>
                          <pic:cNvPr descr="Chapter2/Figs/Figure6.jpg" id="67" name="Picture"/>
                          <pic:cNvPicPr>
                            <a:picLocks noChangeArrowheads="1" noChangeAspect="1"/>
                          </pic:cNvPicPr>
                        </pic:nvPicPr>
                        <pic:blipFill>
                          <a:blip r:embed="rId65"/>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68"/>
        </w:tc>
      </w:tr>
    </w:tbl>
    <w:tbl>
      <w:tblPr>
        <w:tblStyle w:val="Table"/>
        <w:tblW w:type="pct" w:w="5000"/>
        <w:tblLayout w:type="fixed"/>
        <w:tblLook w:firstRow="0" w:lastRow="0" w:firstColumn="0" w:lastColumn="0" w:noHBand="0" w:noVBand="0" w:val="0000"/>
      </w:tblPr>
      <w:tblGrid>
        <w:gridCol w:w="7920"/>
      </w:tblGrid>
      <w:tr>
        <w:tc>
          <w:tcPr/>
          <w:bookmarkStart w:id="72"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70" name="Picture"/>
                  <a:graphic>
                    <a:graphicData uri="http://schemas.openxmlformats.org/drawingml/2006/picture">
                      <pic:pic>
                        <pic:nvPicPr>
                          <pic:cNvPr descr="Chapter2/Figs/metricsTable.png" id="71" name="Picture"/>
                          <pic:cNvPicPr>
                            <a:picLocks noChangeArrowheads="1" noChangeAspect="1"/>
                          </pic:cNvPicPr>
                        </pic:nvPicPr>
                        <pic:blipFill>
                          <a:blip r:embed="rId69"/>
                          <a:stretch>
                            <a:fillRect/>
                          </a:stretch>
                        </pic:blipFill>
                        <pic:spPr bwMode="auto">
                          <a:xfrm>
                            <a:off x="0" y="0"/>
                            <a:ext cx="5646420" cy="1870321"/>
                          </a:xfrm>
                          <a:prstGeom prst="rect">
                            <a:avLst/>
                          </a:prstGeom>
                          <a:noFill/>
                          <a:ln w="9525">
                            <a:noFill/>
                            <a:headEnd/>
                            <a:tailEnd/>
                          </a:ln>
                        </pic:spPr>
                      </pic:pic>
                    </a:graphicData>
                  </a:graphic>
                </wp:inline>
              </w:drawing>
            </w:r>
          </w:p>
          <w:bookmarkEnd w:id="72"/>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76" w:name="fig-VIPFIG"/>
          <w:p>
            <w:pPr>
              <w:pStyle w:val="Compact"/>
              <w:jc w:val="center"/>
            </w:pPr>
            <w:r>
              <w:drawing>
                <wp:inline>
                  <wp:extent cx="4753051" cy="4694529"/>
                  <wp:effectExtent b="0" l="0" r="0" t="0"/>
                  <wp:docPr descr="" title="" id="74" name="Picture"/>
                  <a:graphic>
                    <a:graphicData uri="http://schemas.openxmlformats.org/drawingml/2006/picture">
                      <pic:pic>
                        <pic:nvPicPr>
                          <pic:cNvPr descr="Chapter2/Figs/Figure7.jpg" id="75" name="Picture"/>
                          <pic:cNvPicPr>
                            <a:picLocks noChangeArrowheads="1" noChangeAspect="1"/>
                          </pic:cNvPicPr>
                        </pic:nvPicPr>
                        <pic:blipFill>
                          <a:blip r:embed="rId73"/>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76"/>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80" w:name="fig-VIPFunction"/>
          <w:p>
            <w:pPr>
              <w:pStyle w:val="Compact"/>
              <w:jc w:val="center"/>
            </w:pPr>
            <w:r>
              <w:drawing>
                <wp:inline>
                  <wp:extent cx="5226710" cy="5171846"/>
                  <wp:effectExtent b="0" l="0" r="0" t="0"/>
                  <wp:docPr descr="" title="" id="78" name="Picture"/>
                  <a:graphic>
                    <a:graphicData uri="http://schemas.openxmlformats.org/drawingml/2006/picture">
                      <pic:pic>
                        <pic:nvPicPr>
                          <pic:cNvPr descr="Chapter2/Figs/Figure8.jpg" id="79" name="Picture"/>
                          <pic:cNvPicPr>
                            <a:picLocks noChangeArrowheads="1" noChangeAspect="1"/>
                          </pic:cNvPicPr>
                        </pic:nvPicPr>
                        <pic:blipFill>
                          <a:blip r:embed="rId77"/>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80"/>
        </w:tc>
      </w:tr>
    </w:tbl>
    <w:bookmarkEnd w:id="81"/>
    <w:bookmarkStart w:id="86"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85" w:name="fig-ConfMatFIG"/>
          <w:p>
            <w:pPr>
              <w:pStyle w:val="Compact"/>
              <w:jc w:val="center"/>
            </w:pPr>
            <w:r>
              <w:drawing>
                <wp:inline>
                  <wp:extent cx="4319016" cy="4306824"/>
                  <wp:effectExtent b="0" l="0" r="0" t="0"/>
                  <wp:docPr descr="" title="" id="83" name="Picture"/>
                  <a:graphic>
                    <a:graphicData uri="http://schemas.openxmlformats.org/drawingml/2006/picture">
                      <pic:pic>
                        <pic:nvPicPr>
                          <pic:cNvPr descr="Chapter2/Figs/Figure9.jpg" id="84" name="Picture"/>
                          <pic:cNvPicPr>
                            <a:picLocks noChangeArrowheads="1" noChangeAspect="1"/>
                          </pic:cNvPicPr>
                        </pic:nvPicPr>
                        <pic:blipFill>
                          <a:blip r:embed="rId82"/>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abreviated Bacillariophyceae as Bac, Bare Sediments as Bar, Magnoliopsida as Mag, Phaeophyceae as Pha and Ulvophyceae as Ulv. Labels with numbers show within class sensitivity and specificity.</w:t>
            </w:r>
          </w:p>
          <w:bookmarkEnd w:id="85"/>
        </w:tc>
      </w:tr>
    </w:tbl>
    <w:bookmarkEnd w:id="86"/>
    <w:bookmarkEnd w:id="87"/>
    <w:bookmarkStart w:id="97" w:name="discussion"/>
    <w:p>
      <w:pPr>
        <w:pStyle w:val="Heading2"/>
      </w:pPr>
      <w:r>
        <w:t xml:space="preserve">2.4 Discussion</w:t>
      </w:r>
    </w:p>
    <w:bookmarkStart w:id="88"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multipectral resolution with ten bands when using machine learning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2022a)</w:t>
      </w:r>
      <w:r>
        <w:t xml:space="preserve">. A practical restraint of this analysis is the necessity for non-submerged samples. However, the main challenge in mapping seagrass through remote sensing stems from confusion between similarly pigmented green algae, leading to high levels of uncertainty in current seagrass extent</w:t>
      </w:r>
      <w:r>
        <w:t xml:space="preserve"> </w:t>
      </w:r>
      <w:r>
        <w:t xml:space="preserve">(Len J. McKenzie et al., 2020b)</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2022a; See also: Oiry and Barillé, 2021b)</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88"/>
    <w:bookmarkStart w:id="93"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(S. K. 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Chlorophyll</w:t>
      </w:r>
      <w:r>
        <w:t xml:space="preserve"> </w:t>
      </w:r>
      <w:r>
        <w:rPr>
          <w:i/>
          <w:iCs/>
        </w:rPr>
        <w:t xml:space="preserve">c</w:t>
      </w:r>
      <w:r>
        <w:t xml:space="preserve"> </w:t>
      </w:r>
      <w:r>
        <w:t xml:space="preserve">and fucoxanthin absorb light at 636 nm and 550 nm respectively</w:t>
      </w:r>
      <w:r>
        <w:t xml:space="preserve"> </w:t>
      </w:r>
      <w:r>
        <w:t xml:space="preserve">(Méléder et al., 2013a)</w:t>
      </w:r>
      <w:r>
        <w:t xml:space="preserve">. Those pigments are present amongst diatoms and brown macroalgae, but absent in green macrophytes. Xanthophyceae also contain chlorophyll</w:t>
      </w:r>
      <w:r>
        <w:t xml:space="preserve"> </w:t>
      </w:r>
      <w:r>
        <w:rPr>
          <w:i/>
          <w:iCs/>
        </w:rPr>
        <w:t xml:space="preserve">c</w:t>
      </w:r>
      <w:r>
        <w:t xml:space="preserve">,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2013a)</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(A. Bargain et al., 2013b; K. S.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taxons sharing the same pigments</w:t>
      </w:r>
      <w:r>
        <w:t xml:space="preserve"> </w:t>
      </w:r>
      <w:r>
        <w:t xml:space="preserve">(Kirk, 1994a)</w:t>
      </w:r>
      <w:r>
        <w:t xml:space="preserve">, while 3D disposition of the plants as a whole can alter the magnitude of reflectance</w:t>
      </w:r>
      <w:r>
        <w:t xml:space="preserve"> </w:t>
      </w:r>
      <w:r>
        <w:t xml:space="preserve">(John D. Hedley et al., 2018a)</w:t>
      </w:r>
      <w:r>
        <w:t xml:space="preserve">. As pigment absorptions correspond to narrow spectral bands</w:t>
      </w:r>
      <w:r>
        <w:t xml:space="preserve"> </w:t>
      </w:r>
      <w:r>
        <w:t xml:space="preserve">(Douay et al., 2022; Méléder et al., 2013a)</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S. K. 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chlorophyl-</w:t>
      </w:r>
      <w:r>
        <w:rPr>
          <w:i/>
          <w:iCs/>
        </w:rPr>
        <w:t xml:space="preserve">a</w:t>
      </w:r>
      <w:r>
        <w:t xml:space="preserve"> </w:t>
      </w:r>
      <w:r>
        <w:t xml:space="preserve">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92"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90" name="Picture"/>
                  <a:graphic>
                    <a:graphicData uri="http://schemas.openxmlformats.org/drawingml/2006/picture">
                      <pic:pic>
                        <pic:nvPicPr>
                          <pic:cNvPr descr="Chapter2/Figs/pigmentTable.png" id="91" name="Picture"/>
                          <pic:cNvPicPr>
                            <a:picLocks noChangeArrowheads="1" noChangeAspect="1"/>
                          </pic:cNvPicPr>
                        </pic:nvPicPr>
                        <pic:blipFill>
                          <a:blip r:embed="rId89"/>
                          <a:stretch>
                            <a:fillRect/>
                          </a:stretch>
                        </pic:blipFill>
                        <pic:spPr bwMode="auto">
                          <a:xfrm>
                            <a:off x="0" y="0"/>
                            <a:ext cx="5646420" cy="1510798"/>
                          </a:xfrm>
                          <a:prstGeom prst="rect">
                            <a:avLst/>
                          </a:prstGeom>
                          <a:noFill/>
                          <a:ln w="9525">
                            <a:noFill/>
                            <a:headEnd/>
                            <a:tailEnd/>
                          </a:ln>
                        </pic:spPr>
                      </pic:pic>
                    </a:graphicData>
                  </a:graphic>
                </wp:inline>
              </w:drawing>
            </w:r>
          </w:p>
          <w:bookmarkEnd w:id="92"/>
        </w:tc>
      </w:tr>
    </w:tbl>
    <w:bookmarkEnd w:id="93"/>
    <w:bookmarkStart w:id="94"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(A. Bargain et al., 2013b)</w:t>
      </w:r>
      <w:r>
        <w:t xml:space="preserve">. Likewise,</w:t>
      </w:r>
      <w:r>
        <w:t xml:space="preserve"> </w:t>
      </w:r>
      <w:r>
        <w:t xml:space="preserve">Légaré et al. (2022a)</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(S. K. 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94"/>
    <w:bookmarkStart w:id="95"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Essential Biodiversity Variables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Earth Observation (EO) from satellite data alongside its accessibility means it has been used to study long term anthropogenic impacts</w:t>
      </w:r>
      <w:r>
        <w:t xml:space="preserve"> </w:t>
      </w:r>
      <w:r>
        <w:t xml:space="preserve">(Hu et al., 2017; Lizcano-Sandoval et al., 2022; Santos et al., 2020; Zoffoli et al., 2021b)</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Essential Ocean Variables (EOVs) in coastal ecosystems studies.</w:t>
      </w:r>
    </w:p>
    <w:bookmarkEnd w:id="95"/>
    <w:bookmarkStart w:id="96"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Normalised Difference Vegetation Index (NDVI) that can provide proxies for vegetation coverage, such as monospecific intertidal seagrass meadow</w:t>
      </w:r>
      <w:r>
        <w:t xml:space="preserve"> </w:t>
      </w:r>
      <w:r>
        <w:t xml:space="preserve">(Zoffoli et al., 2020c)</w:t>
      </w:r>
      <w:r>
        <w:t xml:space="preserve">. In particular, our work demonstrated the potential of discriminating intertidal seagrass from Ulvophyceae using satellite remote sensing, therefore unlocking a strong limitation for seagrass mapping in heterogeneous environments. High accuracy at distinguishing habitats was found for hyperspectral sensors as well as multispectral sensors consisting of &gt;8 bands in the visible and near-infrared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96"/>
    <w:bookmarkEnd w:id="97"/>
    <w:bookmarkEnd w:id="98"/>
    <w:bookmarkStart w:id="192" w:name="X27e1cd8292c123eed0e7ee2bdbf2cbaf1b8c277"/>
    <w:p>
      <w:pPr>
        <w:pStyle w:val="Heading1"/>
      </w:pPr>
      <w:r>
        <w:t xml:space="preserve">3. Discriminating Seagrasses from Green Macroalgae in European Intertidal Areas Using High-Resolution Multispectral Drone Imagery</w:t>
      </w:r>
    </w:p>
    <w:bookmarkStart w:id="99" w:name="introduction-1"/>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2022b)</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2022b)</w:t>
      </w:r>
      <w:r>
        <w:t xml:space="preserve">. They serve as vital habitats for a diverse array of marine and terrestrial species, providing living, breeding, and feeding grounds</w:t>
      </w:r>
      <w:r>
        <w:t xml:space="preserve"> </w:t>
      </w:r>
      <w:r>
        <w:t xml:space="preserve">(Gardner and Finlayson, 2018b;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2021b)</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2013b)</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2019b)</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2021b)</w:t>
      </w:r>
      <w:r>
        <w:t xml:space="preserve">.</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99"/>
    <w:bookmarkStart w:id="134" w:name="material-methods"/>
    <w:p>
      <w:pPr>
        <w:pStyle w:val="Heading2"/>
      </w:pPr>
      <w:r>
        <w:t xml:space="preserve">3.2 Material &amp; Methods</w:t>
      </w:r>
    </w:p>
    <w:bookmarkStart w:id="104"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2020b)</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tbl>
      <w:tblPr>
        <w:tblStyle w:val="Table"/>
        <w:tblW w:type="pct" w:w="5000"/>
        <w:tblLayout w:type="fixed"/>
        <w:tblLook w:firstRow="0" w:lastRow="0" w:firstColumn="0" w:lastColumn="0" w:noHBand="0" w:noVBand="0" w:val="0000"/>
      </w:tblPr>
      <w:tblGrid>
        <w:gridCol w:w="7920"/>
      </w:tblGrid>
      <w:tr>
        <w:tc>
          <w:tcPr/>
          <w:bookmarkStart w:id="103" w:name="fig-map"/>
          <w:p>
            <w:pPr>
              <w:pStyle w:val="Compact"/>
              <w:jc w:val="center"/>
            </w:pPr>
            <w:r>
              <w:drawing>
                <wp:inline>
                  <wp:extent cx="5646420" cy="5646420"/>
                  <wp:effectExtent b="0" l="0" r="0" t="0"/>
                  <wp:docPr descr="" title="" id="101" name="Picture"/>
                  <a:graphic>
                    <a:graphicData uri="http://schemas.openxmlformats.org/drawingml/2006/picture">
                      <pic:pic>
                        <pic:nvPicPr>
                          <pic:cNvPr descr="Chapter3/Figs/Figure1.png" id="102" name="Picture"/>
                          <pic:cNvPicPr>
                            <a:picLocks noChangeArrowheads="1" noChangeAspect="1"/>
                          </pic:cNvPicPr>
                        </pic:nvPicPr>
                        <pic:blipFill>
                          <a:blip r:embed="rId100"/>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represents the intertidal zone.</w:t>
            </w:r>
          </w:p>
          <w:bookmarkEnd w:id="103"/>
        </w:tc>
      </w:tr>
    </w:tbl>
    <w:bookmarkEnd w:id="104"/>
    <w:bookmarkStart w:id="115" w:name="field-sampling"/>
    <w:p>
      <w:pPr>
        <w:pStyle w:val="Heading3"/>
      </w:pPr>
      <w:r>
        <w:t xml:space="preserve">3.2.2 Field sampling</w:t>
      </w:r>
    </w:p>
    <w:bookmarkStart w:id="109"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108"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106" name="Picture"/>
                  <a:graphic>
                    <a:graphicData uri="http://schemas.openxmlformats.org/drawingml/2006/picture">
                      <pic:pic>
                        <pic:nvPicPr>
                          <pic:cNvPr descr="Chapter3/Figs/Table1.png" id="107" name="Picture"/>
                          <pic:cNvPicPr>
                            <a:picLocks noChangeArrowheads="1" noChangeAspect="1"/>
                          </pic:cNvPicPr>
                        </pic:nvPicPr>
                        <pic:blipFill>
                          <a:blip r:embed="rId105"/>
                          <a:stretch>
                            <a:fillRect/>
                          </a:stretch>
                        </pic:blipFill>
                        <pic:spPr bwMode="auto">
                          <a:xfrm>
                            <a:off x="0" y="0"/>
                            <a:ext cx="5646420" cy="2477358"/>
                          </a:xfrm>
                          <a:prstGeom prst="rect">
                            <a:avLst/>
                          </a:prstGeom>
                          <a:noFill/>
                          <a:ln w="9525">
                            <a:noFill/>
                            <a:headEnd/>
                            <a:tailEnd/>
                          </a:ln>
                        </pic:spPr>
                      </pic:pic>
                    </a:graphicData>
                  </a:graphic>
                </wp:inline>
              </w:drawing>
            </w:r>
          </w:p>
          <w:bookmarkEnd w:id="108"/>
        </w:tc>
      </w:tr>
    </w:tbl>
    <w:bookmarkEnd w:id="109"/>
    <w:bookmarkStart w:id="114"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113" w:name="fig-vegetation"/>
          <w:p>
            <w:pPr>
              <w:pStyle w:val="Compact"/>
              <w:jc w:val="center"/>
            </w:pPr>
            <w:r>
              <w:drawing>
                <wp:inline>
                  <wp:extent cx="5646420" cy="3952494"/>
                  <wp:effectExtent b="0" l="0" r="0" t="0"/>
                  <wp:docPr descr="" title="" id="111" name="Picture"/>
                  <a:graphic>
                    <a:graphicData uri="http://schemas.openxmlformats.org/drawingml/2006/picture">
                      <pic:pic>
                        <pic:nvPicPr>
                          <pic:cNvPr descr="Chapter3/Figs/Figure2.png" id="112" name="Picture"/>
                          <pic:cNvPicPr>
                            <a:picLocks noChangeArrowheads="1" noChangeAspect="1"/>
                          </pic:cNvPicPr>
                        </pic:nvPicPr>
                        <pic:blipFill>
                          <a:blip r:embed="rId110"/>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113"/>
        </w:tc>
      </w:tr>
    </w:tbl>
    <w:bookmarkEnd w:id="114"/>
    <w:bookmarkEnd w:id="115"/>
    <w:bookmarkStart w:id="116"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116"/>
    <w:bookmarkStart w:id="130"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0" w:name="fig-workflow"/>
          <w:p>
            <w:pPr>
              <w:pStyle w:val="Compact"/>
              <w:jc w:val="center"/>
            </w:pPr>
            <w:r>
              <w:drawing>
                <wp:inline>
                  <wp:extent cx="5646420" cy="3320212"/>
                  <wp:effectExtent b="0" l="0" r="0" t="0"/>
                  <wp:docPr descr="" title="" id="118" name="Picture"/>
                  <a:graphic>
                    <a:graphicData uri="http://schemas.openxmlformats.org/drawingml/2006/picture">
                      <pic:pic>
                        <pic:nvPicPr>
                          <pic:cNvPr descr="Chapter3/Figs/Figure3.png" id="119" name="Picture"/>
                          <pic:cNvPicPr>
                            <a:picLocks noChangeArrowheads="1" noChangeAspect="1"/>
                          </pic:cNvPicPr>
                        </pic:nvPicPr>
                        <pic:blipFill>
                          <a:blip r:embed="rId117"/>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120"/>
        </w:tc>
      </w:tr>
    </w:tbl>
    <w:bookmarkStart w:id="127"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124"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122" name="Picture"/>
                  <a:graphic>
                    <a:graphicData uri="http://schemas.openxmlformats.org/drawingml/2006/picture">
                      <pic:pic>
                        <pic:nvPicPr>
                          <pic:cNvPr descr="Chapter3/Figs/Table2.png" id="123" name="Picture"/>
                          <pic:cNvPicPr>
                            <a:picLocks noChangeArrowheads="1" noChangeAspect="1"/>
                          </pic:cNvPicPr>
                        </pic:nvPicPr>
                        <pic:blipFill>
                          <a:blip r:embed="rId121"/>
                          <a:stretch>
                            <a:fillRect/>
                          </a:stretch>
                        </pic:blipFill>
                        <pic:spPr bwMode="auto">
                          <a:xfrm>
                            <a:off x="0" y="0"/>
                            <a:ext cx="5646420" cy="2011714"/>
                          </a:xfrm>
                          <a:prstGeom prst="rect">
                            <a:avLst/>
                          </a:prstGeom>
                          <a:noFill/>
                          <a:ln w="9525">
                            <a:noFill/>
                            <a:headEnd/>
                            <a:tailEnd/>
                          </a:ln>
                        </pic:spPr>
                      </pic:pic>
                    </a:graphicData>
                  </a:graphic>
                </wp:inline>
              </w:drawing>
            </w:r>
          </w:p>
          <w:bookmarkEnd w:id="124"/>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3.1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3.2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BodyText"/>
      </w:pPr>
      <w:bookmarkStart w:id="125"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3.1</m:t>
              </m:r>
            </m:e>
          </m:d>
        </m:oMath>
      </m:oMathPara>
      <w:bookmarkEnd w:id="125"/>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126"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3.2</m:t>
              </m:r>
            </m:e>
          </m:d>
        </m:oMath>
      </m:oMathPara>
      <w:bookmarkEnd w:id="126"/>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127"/>
    <w:bookmarkStart w:id="128"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128"/>
    <w:bookmarkStart w:id="129"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129"/>
    <w:bookmarkEnd w:id="130"/>
    <w:bookmarkStart w:id="131"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131"/>
    <w:bookmarkStart w:id="132"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132"/>
    <w:bookmarkStart w:id="133"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133"/>
    <w:bookmarkEnd w:id="134"/>
    <w:bookmarkStart w:id="177" w:name="results-1"/>
    <w:p>
      <w:pPr>
        <w:pStyle w:val="Heading2"/>
      </w:pPr>
      <w:r>
        <w:t xml:space="preserve">3.3 Results</w:t>
      </w:r>
    </w:p>
    <w:bookmarkStart w:id="139"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8" w:name="fig-CompareRef"/>
          <w:p>
            <w:pPr>
              <w:pStyle w:val="Compact"/>
              <w:jc w:val="center"/>
            </w:pPr>
            <w:r>
              <w:drawing>
                <wp:inline>
                  <wp:extent cx="5646420" cy="2426196"/>
                  <wp:effectExtent b="0" l="0" r="0" t="0"/>
                  <wp:docPr descr="" title="" id="136" name="Picture"/>
                  <a:graphic>
                    <a:graphicData uri="http://schemas.openxmlformats.org/drawingml/2006/picture">
                      <pic:pic>
                        <pic:nvPicPr>
                          <pic:cNvPr descr="Chapter3/Figs/Figure4.png" id="137" name="Picture"/>
                          <pic:cNvPicPr>
                            <a:picLocks noChangeArrowheads="1" noChangeAspect="1"/>
                          </pic:cNvPicPr>
                        </pic:nvPicPr>
                        <pic:blipFill>
                          <a:blip r:embed="rId135"/>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3.1</w:t>
              </w:r>
            </w:hyperlink>
            <w:r>
              <w:t xml:space="preserve">).</w:t>
            </w:r>
          </w:p>
          <w:bookmarkEnd w:id="138"/>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Hyperlink"/>
          </w:rPr>
          <w:t xml:space="preserve">Equation 3.1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139"/>
    <w:bookmarkStart w:id="156"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143" w:name="fig-GafLow"/>
          <w:p>
            <w:pPr>
              <w:pStyle w:val="Compact"/>
              <w:jc w:val="center"/>
            </w:pPr>
            <w:r>
              <w:drawing>
                <wp:inline>
                  <wp:extent cx="5646420" cy="2937902"/>
                  <wp:effectExtent b="0" l="0" r="0" t="0"/>
                  <wp:docPr descr="" title="" id="141" name="Picture"/>
                  <a:graphic>
                    <a:graphicData uri="http://schemas.openxmlformats.org/drawingml/2006/picture">
                      <pic:pic>
                        <pic:nvPicPr>
                          <pic:cNvPr descr="Chapter3/Figs/Figure5.png" id="142" name="Picture"/>
                          <pic:cNvPicPr>
                            <a:picLocks noChangeArrowheads="1" noChangeAspect="1"/>
                          </pic:cNvPicPr>
                        </pic:nvPicPr>
                        <pic:blipFill>
                          <a:blip r:embed="rId140"/>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10-meter Sentinel-2 pixel size.</w:t>
            </w:r>
          </w:p>
          <w:bookmarkEnd w:id="143"/>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147" w:name="fig-GafHigh"/>
          <w:p>
            <w:pPr>
              <w:pStyle w:val="Compact"/>
              <w:jc w:val="center"/>
            </w:pPr>
            <w:r>
              <w:drawing>
                <wp:inline>
                  <wp:extent cx="5646420" cy="4800778"/>
                  <wp:effectExtent b="0" l="0" r="0" t="0"/>
                  <wp:docPr descr="" title="" id="145" name="Picture"/>
                  <a:graphic>
                    <a:graphicData uri="http://schemas.openxmlformats.org/drawingml/2006/picture">
                      <pic:pic>
                        <pic:nvPicPr>
                          <pic:cNvPr descr="Chapter3/Figs/Figure6.png" id="146" name="Picture"/>
                          <pic:cNvPicPr>
                            <a:picLocks noChangeArrowheads="1" noChangeAspect="1"/>
                          </pic:cNvPicPr>
                        </pic:nvPicPr>
                        <pic:blipFill>
                          <a:blip r:embed="rId144"/>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10-meter Sentinel-2 pixel size.</w:t>
            </w:r>
          </w:p>
          <w:bookmarkEnd w:id="147"/>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151" w:name="fig-Boat"/>
          <w:p>
            <w:pPr>
              <w:pStyle w:val="Compact"/>
              <w:jc w:val="center"/>
            </w:pPr>
            <w:r>
              <w:drawing>
                <wp:inline>
                  <wp:extent cx="5646420" cy="7129639"/>
                  <wp:effectExtent b="0" l="0" r="0" t="0"/>
                  <wp:docPr descr="" title="" id="149" name="Picture"/>
                  <a:graphic>
                    <a:graphicData uri="http://schemas.openxmlformats.org/drawingml/2006/picture">
                      <pic:pic>
                        <pic:nvPicPr>
                          <pic:cNvPr descr="Chapter3/Figs/Figure7.png" id="150" name="Picture"/>
                          <pic:cNvPicPr>
                            <a:picLocks noChangeArrowheads="1" noChangeAspect="1"/>
                          </pic:cNvPicPr>
                        </pic:nvPicPr>
                        <pic:blipFill>
                          <a:blip r:embed="rId148"/>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151"/>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155" w:name="fig-Dike"/>
          <w:p>
            <w:pPr>
              <w:pStyle w:val="Compact"/>
              <w:jc w:val="center"/>
            </w:pPr>
            <w:r>
              <w:drawing>
                <wp:inline>
                  <wp:extent cx="5646420" cy="4714079"/>
                  <wp:effectExtent b="0" l="0" r="0" t="0"/>
                  <wp:docPr descr="" title="" id="153" name="Picture"/>
                  <a:graphic>
                    <a:graphicData uri="http://schemas.openxmlformats.org/drawingml/2006/picture">
                      <pic:pic>
                        <pic:nvPicPr>
                          <pic:cNvPr descr="Chapter3/Figs/Figure8.png" id="154" name="Picture"/>
                          <pic:cNvPicPr>
                            <a:picLocks noChangeArrowheads="1" noChangeAspect="1"/>
                          </pic:cNvPicPr>
                        </pic:nvPicPr>
                        <pic:blipFill>
                          <a:blip r:embed="rId152"/>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10-meter Sentinel-2 pixel size.</w:t>
            </w:r>
          </w:p>
          <w:bookmarkEnd w:id="155"/>
        </w:tc>
      </w:tr>
    </w:tbl>
    <w:bookmarkEnd w:id="156"/>
    <w:bookmarkStart w:id="161"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0" w:name="fig-Validation"/>
          <w:p>
            <w:pPr>
              <w:pStyle w:val="Compact"/>
              <w:jc w:val="center"/>
            </w:pPr>
            <w:r>
              <w:drawing>
                <wp:inline>
                  <wp:extent cx="5646420" cy="3781151"/>
                  <wp:effectExtent b="0" l="0" r="0" t="0"/>
                  <wp:docPr descr="" title="" id="158" name="Picture"/>
                  <a:graphic>
                    <a:graphicData uri="http://schemas.openxmlformats.org/drawingml/2006/picture">
                      <pic:pic>
                        <pic:nvPicPr>
                          <pic:cNvPr descr="Chapter3/Figs/Figure9.png" id="159" name="Picture"/>
                          <pic:cNvPicPr>
                            <a:picLocks noChangeArrowheads="1" noChangeAspect="1"/>
                          </pic:cNvPicPr>
                        </pic:nvPicPr>
                        <pic:blipFill>
                          <a:blip r:embed="rId157"/>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160"/>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161"/>
    <w:bookmarkStart w:id="166"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5" w:name="fig-VIP"/>
          <w:p>
            <w:pPr>
              <w:pStyle w:val="Compact"/>
              <w:jc w:val="center"/>
            </w:pPr>
            <w:r>
              <w:drawing>
                <wp:inline>
                  <wp:extent cx="5646420" cy="4164933"/>
                  <wp:effectExtent b="0" l="0" r="0" t="0"/>
                  <wp:docPr descr="" title="" id="163" name="Picture"/>
                  <a:graphic>
                    <a:graphicData uri="http://schemas.openxmlformats.org/drawingml/2006/picture">
                      <pic:pic>
                        <pic:nvPicPr>
                          <pic:cNvPr descr="Chapter3/Figs/Figure10.png" id="164" name="Picture"/>
                          <pic:cNvPicPr>
                            <a:picLocks noChangeArrowheads="1" noChangeAspect="1"/>
                          </pic:cNvPicPr>
                        </pic:nvPicPr>
                        <pic:blipFill>
                          <a:blip r:embed="rId162"/>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165"/>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166"/>
    <w:bookmarkStart w:id="171"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170" w:name="fig-pixelsize"/>
          <w:p>
            <w:pPr>
              <w:pStyle w:val="Compact"/>
              <w:jc w:val="center"/>
            </w:pPr>
            <w:r>
              <w:drawing>
                <wp:inline>
                  <wp:extent cx="5349240" cy="4312690"/>
                  <wp:effectExtent b="0" l="0" r="0" t="0"/>
                  <wp:docPr descr="" title="" id="168" name="Picture"/>
                  <a:graphic>
                    <a:graphicData uri="http://schemas.openxmlformats.org/drawingml/2006/picture">
                      <pic:pic>
                        <pic:nvPicPr>
                          <pic:cNvPr descr="Chapter3/Figs/Figure11.png" id="169" name="Picture"/>
                          <pic:cNvPicPr>
                            <a:picLocks noChangeArrowheads="1" noChangeAspect="1"/>
                          </pic:cNvPicPr>
                        </pic:nvPicPr>
                        <pic:blipFill>
                          <a:blip r:embed="rId167"/>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170"/>
        </w:tc>
      </w:tr>
    </w:tbl>
    <w:bookmarkEnd w:id="171"/>
    <w:bookmarkStart w:id="176"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5" w:name="fig-upscaling"/>
          <w:p>
            <w:pPr>
              <w:pStyle w:val="Compact"/>
              <w:jc w:val="center"/>
            </w:pPr>
            <w:r>
              <w:drawing>
                <wp:inline>
                  <wp:extent cx="5646420" cy="7578268"/>
                  <wp:effectExtent b="0" l="0" r="0" t="0"/>
                  <wp:docPr descr="" title="" id="173" name="Picture"/>
                  <a:graphic>
                    <a:graphicData uri="http://schemas.openxmlformats.org/drawingml/2006/picture">
                      <pic:pic>
                        <pic:nvPicPr>
                          <pic:cNvPr descr="Chapter3/Figs/Figure12.png" id="174" name="Picture"/>
                          <pic:cNvPicPr>
                            <a:picLocks noChangeArrowheads="1" noChangeAspect="1"/>
                          </pic:cNvPicPr>
                        </pic:nvPicPr>
                        <pic:blipFill>
                          <a:blip r:embed="rId172"/>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75"/>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176"/>
    <w:bookmarkEnd w:id="177"/>
    <w:bookmarkStart w:id="190" w:name="discussion-1"/>
    <w:p>
      <w:pPr>
        <w:pStyle w:val="Heading2"/>
      </w:pPr>
      <w:r>
        <w:t xml:space="preserve">3.4 Discussion</w:t>
      </w:r>
    </w:p>
    <w:bookmarkStart w:id="186"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2021a; Veettil et al., 2020b)</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181" w:name="fig-Pigm"/>
          <w:p>
            <w:pPr>
              <w:pStyle w:val="Compact"/>
              <w:jc w:val="center"/>
            </w:pPr>
            <w:r>
              <w:drawing>
                <wp:inline>
                  <wp:extent cx="5943600" cy="2877014"/>
                  <wp:effectExtent b="0" l="0" r="0" t="0"/>
                  <wp:docPr descr="" title="" id="179" name="Picture"/>
                  <a:graphic>
                    <a:graphicData uri="http://schemas.openxmlformats.org/drawingml/2006/picture">
                      <pic:pic>
                        <pic:nvPicPr>
                          <pic:cNvPr descr="Chapter3/Figs/Figure13.png" id="180" name="Picture"/>
                          <pic:cNvPicPr>
                            <a:picLocks noChangeArrowheads="1" noChangeAspect="1"/>
                          </pic:cNvPicPr>
                        </pic:nvPicPr>
                        <pic:blipFill>
                          <a:blip r:embed="rId178"/>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2013b; Ralph et al., 2002)</w:t>
            </w:r>
            <w:r>
              <w:t xml:space="preserve">.</w:t>
            </w:r>
          </w:p>
          <w:bookmarkEnd w:id="181"/>
        </w:tc>
      </w:tr>
    </w:tbl>
    <w:tbl>
      <w:tblPr>
        <w:tblStyle w:val="Table"/>
        <w:tblW w:type="pct" w:w="5000"/>
        <w:tblLayout w:type="fixed"/>
        <w:tblLook w:firstRow="0" w:lastRow="0" w:firstColumn="0" w:lastColumn="0" w:noHBand="0" w:noVBand="0" w:val="0000"/>
      </w:tblPr>
      <w:tblGrid>
        <w:gridCol w:w="7920"/>
      </w:tblGrid>
      <w:tr>
        <w:tc>
          <w:tcPr/>
          <w:bookmarkStart w:id="185" w:name="fig-ValidationGreen"/>
          <w:p>
            <w:pPr>
              <w:pStyle w:val="Compact"/>
              <w:jc w:val="center"/>
            </w:pPr>
            <w:r>
              <w:drawing>
                <wp:inline>
                  <wp:extent cx="2971800" cy="2121448"/>
                  <wp:effectExtent b="0" l="0" r="0" t="0"/>
                  <wp:docPr descr="" title="" id="183" name="Picture"/>
                  <a:graphic>
                    <a:graphicData uri="http://schemas.openxmlformats.org/drawingml/2006/picture">
                      <pic:pic>
                        <pic:nvPicPr>
                          <pic:cNvPr descr="Chapter3/Figs/Figure14.png" id="184" name="Picture"/>
                          <pic:cNvPicPr>
                            <a:picLocks noChangeArrowheads="1" noChangeAspect="1"/>
                          </pic:cNvPicPr>
                        </pic:nvPicPr>
                        <pic:blipFill>
                          <a:blip r:embed="rId182"/>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185"/>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(A. Bargain et al., 2013a)</w:t>
      </w:r>
      <w:r>
        <w:t xml:space="preserve">, cellular structure as well as in the orientation of the plant at the sediment surface</w:t>
      </w:r>
      <w:r>
        <w:t xml:space="preserve"> </w:t>
      </w:r>
      <w:r>
        <w:t xml:space="preserve">(K. Beach et al., 1997; John D. Hedley et al., 2018b; Kirk, 1994b)</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186"/>
    <w:bookmarkStart w:id="187"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Hyperlink"/>
          </w:rPr>
          <w:t xml:space="preserve">Figure 3.4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3.4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3.1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(A. Bargain et al., 2013a; Légaré et al., 2022b)</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S.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187"/>
    <w:bookmarkStart w:id="188"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188"/>
    <w:bookmarkStart w:id="189"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(Frank E. Muller-Karger et al., 2018b; Oiry and Barillé, 2021a;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(E. 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2021b)</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2021b)</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89"/>
    <w:bookmarkEnd w:id="190"/>
    <w:bookmarkStart w:id="191" w:name="conclusion"/>
    <w:p>
      <w:pPr>
        <w:pStyle w:val="Heading2"/>
      </w:pPr>
      <w:r>
        <w:t xml:space="preserve">3.5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End w:id="191"/>
    <w:bookmarkEnd w:id="192"/>
    <w:bookmarkStart w:id="193" w:name="summary"/>
    <w:p>
      <w:pPr>
        <w:pStyle w:val="Heading1"/>
      </w:pPr>
      <w:r>
        <w:t xml:space="preserve">4. Summary</w:t>
      </w:r>
    </w:p>
    <w:p>
      <w:pPr>
        <w:pStyle w:val="FirstParagraph"/>
      </w:pPr>
      <w:r>
        <w:t xml:space="preserve">In summary, this book has no content whatsoever.</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bookmarkEnd w:id="193"/>
    <w:bookmarkStart w:id="449" w:name="references"/>
    <w:p>
      <w:pPr>
        <w:pStyle w:val="Heading1"/>
      </w:pPr>
      <w:r>
        <w:t xml:space="preserve">References</w:t>
      </w:r>
    </w:p>
    <w:bookmarkStart w:id="448" w:name="refs"/>
    <w:bookmarkStart w:id="194" w:name="ref-adade2021"/>
    <w:p>
      <w:pPr>
        <w:pStyle w:val="Bibliography"/>
      </w:pPr>
      <w:r>
        <w:t xml:space="preserve">Adade, R., Aibinu, A.M., Ekumah, B., Asaana, J., 2021. Unmanned aerial vehicle (UAV) applications in coastal zone management—a review. Environmental Monitoring and Assessment 193, 1–12.</w:t>
      </w:r>
    </w:p>
    <w:bookmarkEnd w:id="194"/>
    <w:bookmarkStart w:id="195" w:name="ref-aghanim2020resultats"/>
    <w:p>
      <w:pPr>
        <w:pStyle w:val="Bibliography"/>
      </w:pPr>
      <w:r>
        <w:t xml:space="preserve">Aghanim, N., Dole, H., 2020. Les r</w:t>
      </w:r>
      <w:r>
        <w:t xml:space="preserve">é</w:t>
      </w:r>
      <w:r>
        <w:t xml:space="preserve">sultats cosmologiques de la mission planck. Reflets de la physique 4–7.</w:t>
      </w:r>
    </w:p>
    <w:bookmarkEnd w:id="195"/>
    <w:bookmarkStart w:id="197" w:name="ref-agisoft"/>
    <w:p>
      <w:pPr>
        <w:pStyle w:val="Bibliography"/>
      </w:pPr>
      <w:r>
        <w:t xml:space="preserve">Agisoft, 2019.</w:t>
      </w:r>
      <w:r>
        <w:t xml:space="preserve"> </w:t>
      </w:r>
      <w:hyperlink r:id="rId196">
        <w:r>
          <w:rPr>
            <w:rStyle w:val="Hyperlink"/>
          </w:rPr>
          <w:t xml:space="preserve">Agisoft metashape</w:t>
        </w:r>
      </w:hyperlink>
      <w:r>
        <w:t xml:space="preserve">.</w:t>
      </w:r>
    </w:p>
    <w:bookmarkEnd w:id="197"/>
    <w:bookmarkStart w:id="198"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98"/>
    <w:bookmarkStart w:id="200" w:name="ref-ASI2020"/>
    <w:p>
      <w:pPr>
        <w:pStyle w:val="Bibliography"/>
      </w:pPr>
      <w:r>
        <w:t xml:space="preserve">ASI, 2020.</w:t>
      </w:r>
      <w:r>
        <w:t xml:space="preserve"> </w:t>
      </w:r>
      <w:hyperlink r:id="rId199">
        <w:r>
          <w:rPr>
            <w:rStyle w:val="Hyperlink"/>
          </w:rPr>
          <w:t xml:space="preserve">PRISMA products specification document issue 2.3 date 12/03/2020</w:t>
        </w:r>
      </w:hyperlink>
      <w:r>
        <w:t xml:space="preserve">.</w:t>
      </w:r>
    </w:p>
    <w:bookmarkEnd w:id="200"/>
    <w:bookmarkStart w:id="201"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201"/>
    <w:bookmarkStart w:id="202"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202"/>
    <w:bookmarkStart w:id="203" w:name="ref-Bargain2012"/>
    <w:p>
      <w:pPr>
        <w:pStyle w:val="Bibliography"/>
      </w:pPr>
      <w:r>
        <w:t xml:space="preserve">Bargain, A., Robin, M., Le Men, E., Huete, A., Barillé, L., 2012. Spectral response of the seagrass zostera noltii with different sediment backgrounds. Aquatic Botany 98, 45–56.</w:t>
      </w:r>
    </w:p>
    <w:bookmarkEnd w:id="203"/>
    <w:bookmarkStart w:id="205" w:name="ref-Bargain2013"/>
    <w:p>
      <w:pPr>
        <w:pStyle w:val="Bibliography"/>
      </w:pPr>
      <w:r>
        <w:t xml:space="preserve">Bargain, A., Robin, M., Méléder, V., Rosa, P., Le Menn, E., Harin, N., Barillé, L., 2013b.</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204">
        <w:r>
          <w:rPr>
            <w:rStyle w:val="Hyperlink"/>
          </w:rPr>
          <w:t xml:space="preserve">https://doi.org/10.1016/j.jembe.2013.04.012</w:t>
        </w:r>
      </w:hyperlink>
    </w:p>
    <w:bookmarkEnd w:id="205"/>
    <w:bookmarkStart w:id="206" w:name="ref-bargain2013seasonal"/>
    <w:p>
      <w:pPr>
        <w:pStyle w:val="Bibliography"/>
      </w:pPr>
      <w:r>
        <w:t xml:space="preserve">Bargain, A., Robin, M., Méléder, V., Rosa, P., Le Menn, E., Harin, N., Barillé, L., 2013a. Seasonal spectral variation of zostera noltii and its influence on pigment-based vegetation indices. Journal of experimental marine biology and ecology 446, 86–94.</w:t>
      </w:r>
    </w:p>
    <w:bookmarkEnd w:id="206"/>
    <w:bookmarkStart w:id="208"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207">
        <w:r>
          <w:rPr>
            <w:rStyle w:val="Hyperlink"/>
          </w:rPr>
          <w:t xml:space="preserve">https://doi.org/10.1016/j.rse.2010.12.008</w:t>
        </w:r>
      </w:hyperlink>
    </w:p>
    <w:bookmarkEnd w:id="208"/>
    <w:bookmarkStart w:id="210"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209">
        <w:r>
          <w:rPr>
            <w:rStyle w:val="Hyperlink"/>
          </w:rPr>
          <w:t xml:space="preserve">https://doi.org/10.1016/j.aquabot.2009.11.006</w:t>
        </w:r>
      </w:hyperlink>
    </w:p>
    <w:bookmarkEnd w:id="210"/>
    <w:bookmarkStart w:id="211" w:name="ref-beach1997vivo"/>
    <w:p>
      <w:pPr>
        <w:pStyle w:val="Bibliography"/>
      </w:pPr>
      <w:r>
        <w:t xml:space="preserve">Beach, K., Borgeas, H., Nishimura, N., Smith, C., 1997. In vivo absorbance spectra and the ecophysiology of reef macroalgae. Coral Reefs 16, 21–28.</w:t>
      </w:r>
    </w:p>
    <w:bookmarkEnd w:id="211"/>
    <w:bookmarkStart w:id="213" w:name="ref-Beach1997"/>
    <w:p>
      <w:pPr>
        <w:pStyle w:val="Bibliography"/>
      </w:pPr>
      <w:r>
        <w:t xml:space="preserve">Beach, K.S., Borgeas, H.B., Nishimura, N.J., Smith, C.M., 1997.</w:t>
      </w:r>
      <w:r>
        <w:t xml:space="preserve"> </w:t>
      </w:r>
      <w:r>
        <w:t xml:space="preserve">In vivo absorbance spectra and the ecophysiology of reef macroalgae</w:t>
      </w:r>
      <w:r>
        <w:t xml:space="preserve">. Coral Reefs 16, 21–28.</w:t>
      </w:r>
      <w:r>
        <w:t xml:space="preserve"> </w:t>
      </w:r>
      <w:hyperlink r:id="rId212">
        <w:r>
          <w:rPr>
            <w:rStyle w:val="Hyperlink"/>
          </w:rPr>
          <w:t xml:space="preserve">https://doi.org/10.1007/s003380050055</w:t>
        </w:r>
      </w:hyperlink>
    </w:p>
    <w:bookmarkEnd w:id="213"/>
    <w:bookmarkStart w:id="215"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214">
        <w:r>
          <w:rPr>
            <w:rStyle w:val="Hyperlink"/>
          </w:rPr>
          <w:t xml:space="preserve">https://doi.org/10.1007/s12237-021-00949-8</w:t>
        </w:r>
      </w:hyperlink>
    </w:p>
    <w:bookmarkEnd w:id="215"/>
    <w:bookmarkStart w:id="216"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216"/>
    <w:bookmarkStart w:id="218" w:name="ref-Brondizio2019"/>
    <w:p>
      <w:pPr>
        <w:pStyle w:val="Bibliography"/>
      </w:pPr>
      <w:r>
        <w:t xml:space="preserve">Brondízio, E.S., Settele, J., Díaz, S., Ngo, H.T.(eds)., 2019.</w:t>
      </w:r>
      <w:r>
        <w:t xml:space="preserve"> </w:t>
      </w:r>
      <w:hyperlink r:id="rId217">
        <w:r>
          <w:rPr>
            <w:rStyle w:val="Hyperlink"/>
          </w:rPr>
          <w:t xml:space="preserve">IPBES (2019), Global assessment report of the Intergovernmental Science-Policy Platform on Biodiversity and Ecosystem Services</w:t>
        </w:r>
      </w:hyperlink>
      <w:r>
        <w:t xml:space="preserve">.</w:t>
      </w:r>
    </w:p>
    <w:bookmarkEnd w:id="218"/>
    <w:bookmarkStart w:id="220"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219">
        <w:r>
          <w:rPr>
            <w:rStyle w:val="Hyperlink"/>
          </w:rPr>
          <w:t xml:space="preserve">https://doi.org/10.3390/RS14020307</w:t>
        </w:r>
      </w:hyperlink>
    </w:p>
    <w:bookmarkEnd w:id="220"/>
    <w:bookmarkStart w:id="221"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221"/>
    <w:bookmarkStart w:id="223"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222">
        <w:r>
          <w:rPr>
            <w:rStyle w:val="Hyperlink"/>
          </w:rPr>
          <w:t xml:space="preserve">https://doi.org/10.1139/cjfas-2016-0137</w:t>
        </w:r>
      </w:hyperlink>
    </w:p>
    <w:bookmarkEnd w:id="223"/>
    <w:bookmarkStart w:id="224"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224"/>
    <w:bookmarkStart w:id="225"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225"/>
    <w:bookmarkStart w:id="227"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226">
        <w:r>
          <w:rPr>
            <w:rStyle w:val="Hyperlink"/>
          </w:rPr>
          <w:t xml:space="preserve">https://doi.org/10.1016/j.csr.2013.01.010</w:t>
        </w:r>
      </w:hyperlink>
    </w:p>
    <w:bookmarkEnd w:id="227"/>
    <w:bookmarkStart w:id="229"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228">
        <w:r>
          <w:rPr>
            <w:rStyle w:val="Hyperlink"/>
          </w:rPr>
          <w:t xml:space="preserve">https://doi.org/10.1007/s00227-012-1987-5</w:t>
        </w:r>
      </w:hyperlink>
    </w:p>
    <w:bookmarkEnd w:id="229"/>
    <w:bookmarkStart w:id="230" w:name="ref-casella2020"/>
    <w:p>
      <w:pPr>
        <w:pStyle w:val="Bibliography"/>
      </w:pPr>
      <w:r>
        <w:t xml:space="preserve">Casella, E., Drechsel, J., Winter, C., Benninghoff, M., Rovere, A., 2020. Accuracy of sand beach topography surveying by drones and photogrammetry. Geo-Marine Letters 40, 255–268.</w:t>
      </w:r>
    </w:p>
    <w:bookmarkEnd w:id="230"/>
    <w:bookmarkStart w:id="232"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231">
        <w:r>
          <w:rPr>
            <w:rStyle w:val="Hyperlink"/>
          </w:rPr>
          <w:t xml:space="preserve">https://doi.org/10.1016/j.algal.2017.04.021</w:t>
        </w:r>
      </w:hyperlink>
    </w:p>
    <w:bookmarkEnd w:id="232"/>
    <w:bookmarkStart w:id="233"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233"/>
    <w:bookmarkStart w:id="234" w:name="ref-chefaoui2018dramatic"/>
    <w:p>
      <w:pPr>
        <w:pStyle w:val="Bibliography"/>
      </w:pPr>
      <w:r>
        <w:t xml:space="preserve">Chefaoui, R.M., Duarte, C.M., Serrão, E.A., 2018. Dramatic loss of seagrass habitat under projected climate change in the mediterranean sea. Global change biology 24, 4919–4928.</w:t>
      </w:r>
    </w:p>
    <w:bookmarkEnd w:id="234"/>
    <w:bookmarkStart w:id="235" w:name="ref-christensen1977seaweeds"/>
    <w:p>
      <w:pPr>
        <w:pStyle w:val="Bibliography"/>
      </w:pPr>
      <w:r>
        <w:t xml:space="preserve">Christensen, T., Dixon, P.S., Irvine, L.M., 1977. Seaweeds of the british isles: Tribophyceae (xanthophyceae). British Museum (Natural History).</w:t>
      </w:r>
    </w:p>
    <w:bookmarkEnd w:id="235"/>
    <w:bookmarkStart w:id="236"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236"/>
    <w:bookmarkStart w:id="237" w:name="ref-collin2019improving"/>
    <w:p>
      <w:pPr>
        <w:pStyle w:val="Bibliography"/>
      </w:pPr>
      <w:r>
        <w:t xml:space="preserve">Collin, A., Dubois, S., James, D., Houet, T., 2019. Improving intertidal reef mapping using UAV surface, red edge, and near-infrared data. Drones 3, 67.</w:t>
      </w:r>
    </w:p>
    <w:bookmarkEnd w:id="237"/>
    <w:bookmarkStart w:id="238"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238"/>
    <w:bookmarkStart w:id="240"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239">
        <w:r>
          <w:rPr>
            <w:rStyle w:val="Hyperlink"/>
          </w:rPr>
          <w:t xml:space="preserve">https://doi.org/10.1016/j.ecolind.2020.107018</w:t>
        </w:r>
      </w:hyperlink>
    </w:p>
    <w:bookmarkEnd w:id="240"/>
    <w:bookmarkStart w:id="241"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241"/>
    <w:bookmarkStart w:id="242"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242"/>
    <w:bookmarkStart w:id="243"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243"/>
    <w:bookmarkStart w:id="245"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244">
        <w:r>
          <w:rPr>
            <w:rStyle w:val="Hyperlink"/>
          </w:rPr>
          <w:t xml:space="preserve">https://doi.org/10.1016/j.rse.2023.113554</w:t>
        </w:r>
      </w:hyperlink>
    </w:p>
    <w:bookmarkEnd w:id="245"/>
    <w:bookmarkStart w:id="246" w:name="ref-Davies2022b"/>
    <w:p>
      <w:pPr>
        <w:pStyle w:val="Bibliography"/>
      </w:pPr>
      <w:r>
        <w:t xml:space="preserve">Davies, B.F.R., Holmes, L., Attrill, M.J., Sheehan, E.V., 2022. Ecosystem benefits of adopting a whole-site approach to MPA management. Fisheries Management and Ecology.</w:t>
      </w:r>
    </w:p>
    <w:bookmarkEnd w:id="246"/>
    <w:bookmarkStart w:id="247"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247"/>
    <w:bookmarkStart w:id="248"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248"/>
    <w:bookmarkStart w:id="250" w:name="ref-BedeGbif"/>
    <w:p>
      <w:pPr>
        <w:pStyle w:val="Bibliography"/>
      </w:pPr>
      <w:r>
        <w:t xml:space="preserve">Davies, B.F.R., Sousa, A.I., Figueira, R., Oiry, S., Gernez, P., Barillé, L., 2023b. Benthic intertidal vegetation from the tagus estuary and aveiro lagoon.</w:t>
      </w:r>
      <w:r>
        <w:t xml:space="preserve"> </w:t>
      </w:r>
      <w:hyperlink r:id="rId249">
        <w:r>
          <w:rPr>
            <w:rStyle w:val="Hyperlink"/>
          </w:rPr>
          <w:t xml:space="preserve">https://doi.org/10.15468/n4ak6x</w:t>
        </w:r>
      </w:hyperlink>
    </w:p>
    <w:bookmarkEnd w:id="250"/>
    <w:bookmarkStart w:id="251"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251"/>
    <w:bookmarkStart w:id="252" w:name="ref-devlin2023nutrients"/>
    <w:p>
      <w:pPr>
        <w:pStyle w:val="Bibliography"/>
      </w:pPr>
      <w:r>
        <w:t xml:space="preserve">Devlin, M., Brodie, J., 2023. Nutrients and eutrophication, in: Marine Pollution–Monitoring, Management and Mitigation. Springer, pp. 75–100.</w:t>
      </w:r>
    </w:p>
    <w:bookmarkEnd w:id="252"/>
    <w:bookmarkStart w:id="254"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253">
        <w:r>
          <w:rPr>
            <w:rStyle w:val="Hyperlink"/>
          </w:rPr>
          <w:t xml:space="preserve">https://doi.org/10.1016/j.rse.2015.01.027</w:t>
        </w:r>
      </w:hyperlink>
    </w:p>
    <w:bookmarkEnd w:id="254"/>
    <w:bookmarkStart w:id="255" w:name="ref-Diruit2022"/>
    <w:p>
      <w:pPr>
        <w:pStyle w:val="Bibliography"/>
      </w:pPr>
      <w:r>
        <w:t xml:space="preserve">Diruit, W., Le Bris, A., Bajjouk, T., Richier, S., Helias, M., Burel, T., Lennon, M., Guyot, A., Ar Gall, E., 2022. Seaweed habitats on the shore: Characterization through hyperspectral UAV imagery and field sampling. Remote Sensing 14, 3124.</w:t>
      </w:r>
    </w:p>
    <w:bookmarkEnd w:id="255"/>
    <w:bookmarkStart w:id="257" w:name="ref-Douay2022"/>
    <w:p>
      <w:pPr>
        <w:pStyle w:val="Bibliography"/>
      </w:pPr>
      <w:r>
        <w:t xml:space="preserve">Douay, F., Verpoorter, C., Duong, G., Spilmont, N., Gevaert, F., 2022. New hyperspectral procedure to discriminate intertidal macroalgae. Remote Sensing 14.</w:t>
      </w:r>
      <w:r>
        <w:t xml:space="preserve"> </w:t>
      </w:r>
      <w:hyperlink r:id="rId256">
        <w:r>
          <w:rPr>
            <w:rStyle w:val="Hyperlink"/>
          </w:rPr>
          <w:t xml:space="preserve">https://doi.org/10.3390/rs14020346</w:t>
        </w:r>
      </w:hyperlink>
    </w:p>
    <w:bookmarkEnd w:id="257"/>
    <w:bookmarkStart w:id="258"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258"/>
    <w:bookmarkStart w:id="259"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259"/>
    <w:bookmarkStart w:id="260"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260"/>
    <w:bookmarkStart w:id="261"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261"/>
    <w:bookmarkStart w:id="262"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262"/>
    <w:bookmarkStart w:id="263"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263"/>
    <w:bookmarkStart w:id="264"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264"/>
    <w:bookmarkStart w:id="265" w:name="ref-foden2007angiosperms"/>
    <w:p>
      <w:pPr>
        <w:pStyle w:val="Bibliography"/>
      </w:pPr>
      <w:r>
        <w:t xml:space="preserve">Foden, J., Brazier, D., 2007. Angiosperms (seagrass) within the EU water framework directive: A UK perspective. Marine Pollution Bulletin 55, 181–195.</w:t>
      </w:r>
    </w:p>
    <w:bookmarkEnd w:id="265"/>
    <w:bookmarkStart w:id="266"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266"/>
    <w:bookmarkStart w:id="268" w:name="ref-R-rsample"/>
    <w:p>
      <w:pPr>
        <w:pStyle w:val="Bibliography"/>
      </w:pPr>
      <w:r>
        <w:t xml:space="preserve">Frick, H., Chow, F., Kuhn, M., Mahoney, M., Silge, J., Wickham, H., 2024.</w:t>
      </w:r>
      <w:r>
        <w:t xml:space="preserve"> </w:t>
      </w:r>
      <w:hyperlink r:id="rId267">
        <w:r>
          <w:rPr>
            <w:rStyle w:val="Hyperlink"/>
          </w:rPr>
          <w:t xml:space="preserve">Rsample: General resampling infrastructure</w:t>
        </w:r>
      </w:hyperlink>
      <w:r>
        <w:t xml:space="preserve">.</w:t>
      </w:r>
    </w:p>
    <w:bookmarkEnd w:id="268"/>
    <w:bookmarkStart w:id="269" w:name="ref-fyfe2003spatial"/>
    <w:p>
      <w:pPr>
        <w:pStyle w:val="Bibliography"/>
      </w:pPr>
      <w:r>
        <w:t xml:space="preserve">Fyfe, S., 2003. Spatial and temporal variation in spectral reflectance: Are seagrass species spectrally distinct? Limnology and Oceanography 48, 464–479.</w:t>
      </w:r>
    </w:p>
    <w:bookmarkEnd w:id="269"/>
    <w:bookmarkStart w:id="271" w:name="ref-Fyfe2003"/>
    <w:p>
      <w:pPr>
        <w:pStyle w:val="Bibliography"/>
      </w:pPr>
      <w:r>
        <w:t xml:space="preserve">Fyfe, S.K., 2003.</w:t>
      </w:r>
      <w:r>
        <w:t xml:space="preserve"> </w:t>
      </w:r>
      <w:r>
        <w:t xml:space="preserve">Spatial and temporal variation in spectral reflectance: Are seagrass species spectrally distinct?</w:t>
      </w:r>
      <w:r>
        <w:t xml:space="preserve"> Limnology and Oceanography 48, 464–479.</w:t>
      </w:r>
      <w:r>
        <w:t xml:space="preserve"> </w:t>
      </w:r>
      <w:hyperlink r:id="rId270">
        <w:r>
          <w:rPr>
            <w:rStyle w:val="Hyperlink"/>
          </w:rPr>
          <w:t xml:space="preserve">https://doi.org/10.4319/lo.2003.48.1_part_2.0464</w:t>
        </w:r>
      </w:hyperlink>
    </w:p>
    <w:bookmarkEnd w:id="271"/>
    <w:bookmarkStart w:id="272" w:name="ref-Gardner2018"/>
    <w:p>
      <w:pPr>
        <w:pStyle w:val="Bibliography"/>
      </w:pPr>
      <w:r>
        <w:t xml:space="preserve">Gardner, R.C., Finlayson, C., 2018a. Global wetland outlook: State of the world’s wetlands and their services to people, in: Ramsar Convention Secretariat. pp. 2020–5.</w:t>
      </w:r>
    </w:p>
    <w:bookmarkEnd w:id="272"/>
    <w:bookmarkStart w:id="273" w:name="ref-gardner2018"/>
    <w:p>
      <w:pPr>
        <w:pStyle w:val="Bibliography"/>
      </w:pPr>
      <w:r>
        <w:t xml:space="preserve">Gardner, R.C., Finlayson, C., 2018b. Global wetland outlook: State of the world’s wetlands and their services to people. Stetson Law.</w:t>
      </w:r>
    </w:p>
    <w:bookmarkEnd w:id="273"/>
    <w:bookmarkStart w:id="275"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274">
        <w:r>
          <w:rPr>
            <w:rStyle w:val="Hyperlink"/>
          </w:rPr>
          <w:t xml:space="preserve">https://doi.org/10.1016/j.ecss.2021.107320</w:t>
        </w:r>
      </w:hyperlink>
    </w:p>
    <w:bookmarkEnd w:id="275"/>
    <w:bookmarkStart w:id="276"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276"/>
    <w:bookmarkStart w:id="277" w:name="ref-Green2021"/>
    <w:p>
      <w:pPr>
        <w:pStyle w:val="Bibliography"/>
      </w:pPr>
      <w:r>
        <w:t xml:space="preserve">Green, A.E., Unsworth, R.K., Chadwick, M.A., Jones, P.J., 2021. Historical analysis exposes catastrophic seagrass loss for the united kingdom. Frontiers in plant science 261.</w:t>
      </w:r>
    </w:p>
    <w:bookmarkEnd w:id="277"/>
    <w:bookmarkStart w:id="279" w:name="ref-R-vip"/>
    <w:p>
      <w:pPr>
        <w:pStyle w:val="Bibliography"/>
      </w:pPr>
      <w:r>
        <w:t xml:space="preserve">Greenwell, B.M., Boehmke, B., 2023.</w:t>
      </w:r>
      <w:r>
        <w:t xml:space="preserve"> </w:t>
      </w:r>
      <w:hyperlink r:id="rId278">
        <w:r>
          <w:rPr>
            <w:rStyle w:val="Hyperlink"/>
          </w:rPr>
          <w:t xml:space="preserve">Vip: Variable importance plots</w:t>
        </w:r>
      </w:hyperlink>
      <w:r>
        <w:t xml:space="preserve">.</w:t>
      </w:r>
    </w:p>
    <w:bookmarkEnd w:id="279"/>
    <w:bookmarkStart w:id="280" w:name="ref-Guyot1990"/>
    <w:p>
      <w:pPr>
        <w:pStyle w:val="Bibliography"/>
      </w:pPr>
      <w:r>
        <w:t xml:space="preserve">Guyot, G., 1990. Optical properties of vegetation canopies. Optical properties of vegetation canopies. 19–43.</w:t>
      </w:r>
    </w:p>
    <w:bookmarkEnd w:id="280"/>
    <w:bookmarkStart w:id="281"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281"/>
    <w:bookmarkStart w:id="282" w:name="ref-haro2023biointertidal"/>
    <w:p>
      <w:pPr>
        <w:pStyle w:val="Bibliography"/>
      </w:pPr>
      <w:r>
        <w:t xml:space="preserve">Haro, S., Jimenez-Reina, J., Bermejo, R., Morrison, L., 2023. BioIntertidal mapper software: A satellite approach for NDVI-based intertidal habitat mapping. SoftwareX 24, 101520.</w:t>
      </w:r>
    </w:p>
    <w:bookmarkEnd w:id="282"/>
    <w:bookmarkStart w:id="284" w:name="ref-Hedley2018"/>
    <w:p>
      <w:pPr>
        <w:pStyle w:val="Bibliography"/>
      </w:pPr>
      <w:r>
        <w:t xml:space="preserve">Hedley, John D., Mirhakak, M., Wentworth, A., Dierssen, H.M., 2018a. Influence of three-dimensional coral structures on hyperspectral benthic reflectance and water-leaving reflectance. Applied Sciences 8.</w:t>
      </w:r>
      <w:r>
        <w:t xml:space="preserve"> </w:t>
      </w:r>
      <w:hyperlink r:id="rId283">
        <w:r>
          <w:rPr>
            <w:rStyle w:val="Hyperlink"/>
          </w:rPr>
          <w:t xml:space="preserve">https://doi.org/10.3390/app8122688</w:t>
        </w:r>
      </w:hyperlink>
    </w:p>
    <w:bookmarkEnd w:id="284"/>
    <w:bookmarkStart w:id="285" w:name="ref-hedley2018influence"/>
    <w:p>
      <w:pPr>
        <w:pStyle w:val="Bibliography"/>
      </w:pPr>
      <w:r>
        <w:t xml:space="preserve">Hedley, John D., Mirhakak, M., Wentworth, A., Dierssen, H.M., 2018b. Influence of three-dimensional coral structures on hyperspectral benthic reflectance and water-leaving reflectance. Applied Sciences 8, 2688.</w:t>
      </w:r>
    </w:p>
    <w:bookmarkEnd w:id="285"/>
    <w:bookmarkStart w:id="287"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286">
        <w:r>
          <w:rPr>
            <w:rStyle w:val="Hyperlink"/>
          </w:rPr>
          <w:t xml:space="preserve">https://doi.org/10.1016/j.rse.2015.05.023</w:t>
        </w:r>
      </w:hyperlink>
    </w:p>
    <w:bookmarkEnd w:id="287"/>
    <w:bookmarkStart w:id="288"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288"/>
    <w:bookmarkStart w:id="290"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289">
        <w:r>
          <w:rPr>
            <w:rStyle w:val="Hyperlink"/>
          </w:rPr>
          <w:t xml:space="preserve">https://doi.org/10.1016/j.envpol.2021.117731</w:t>
        </w:r>
      </w:hyperlink>
    </w:p>
    <w:bookmarkEnd w:id="290"/>
    <w:bookmarkStart w:id="291" w:name="ref-howard2018fastai"/>
    <w:p>
      <w:pPr>
        <w:pStyle w:val="Bibliography"/>
      </w:pPr>
      <w:r>
        <w:t xml:space="preserve">Howard, J., others, 2018. Fastai.</w:t>
      </w:r>
    </w:p>
    <w:bookmarkEnd w:id="291"/>
    <w:bookmarkStart w:id="293"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292">
        <w:r>
          <w:rPr>
            <w:rStyle w:val="Hyperlink"/>
          </w:rPr>
          <w:t xml:space="preserve">https://doi.org/10.1016/j.rse.2017.01.037</w:t>
        </w:r>
      </w:hyperlink>
    </w:p>
    <w:bookmarkEnd w:id="293"/>
    <w:bookmarkStart w:id="295" w:name="ref-ign"/>
    <w:p>
      <w:pPr>
        <w:pStyle w:val="Bibliography"/>
      </w:pPr>
      <w:r>
        <w:t xml:space="preserve">IGN, 2024.</w:t>
      </w:r>
      <w:r>
        <w:t xml:space="preserve"> </w:t>
      </w:r>
      <w:hyperlink r:id="rId294">
        <w:r>
          <w:rPr>
            <w:rStyle w:val="Hyperlink"/>
          </w:rPr>
          <w:t xml:space="preserve">Institut national de l’information géographique et forestiere (IGN)</w:t>
        </w:r>
      </w:hyperlink>
      <w:r>
        <w:t xml:space="preserve">.</w:t>
      </w:r>
    </w:p>
    <w:bookmarkEnd w:id="295"/>
    <w:bookmarkStart w:id="296"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296"/>
    <w:bookmarkStart w:id="297"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297"/>
    <w:bookmarkStart w:id="299"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298">
        <w:r>
          <w:rPr>
            <w:rStyle w:val="Hyperlink"/>
          </w:rPr>
          <w:t xml:space="preserve">https://doi.org/10.1177/0309133309339563</w:t>
        </w:r>
      </w:hyperlink>
    </w:p>
    <w:bookmarkEnd w:id="299"/>
    <w:bookmarkStart w:id="300" w:name="ref-joyce2023"/>
    <w:p>
      <w:pPr>
        <w:pStyle w:val="Bibliography"/>
      </w:pPr>
      <w:r>
        <w:t xml:space="preserve">Joyce, K.E., Fickas, K.C., Kalamandeen, M., 2023. The unique value proposition for using drones to map coastal ecosystems. Cambridge Prisms: Coastal Futures 1, e6.</w:t>
      </w:r>
    </w:p>
    <w:bookmarkEnd w:id="300"/>
    <w:bookmarkStart w:id="301" w:name="ref-Kirk1994"/>
    <w:p>
      <w:pPr>
        <w:pStyle w:val="Bibliography"/>
      </w:pPr>
      <w:r>
        <w:t xml:space="preserve">Kirk, J.T., 1994a. Light and photosynthesis in aquatic ecosystems. Cambridge university press.</w:t>
      </w:r>
    </w:p>
    <w:bookmarkEnd w:id="301"/>
    <w:bookmarkStart w:id="302" w:name="ref-kirk1994light"/>
    <w:p>
      <w:pPr>
        <w:pStyle w:val="Bibliography"/>
      </w:pPr>
      <w:r>
        <w:t xml:space="preserve">Kirk, J.T., 1994b. Light and photosynthesis in aquatic ecosystems. Cambridge university press.</w:t>
      </w:r>
    </w:p>
    <w:bookmarkEnd w:id="302"/>
    <w:bookmarkStart w:id="303" w:name="ref-klemas2012remote"/>
    <w:p>
      <w:pPr>
        <w:pStyle w:val="Bibliography"/>
      </w:pPr>
      <w:r>
        <w:t xml:space="preserve">Klemas, V., 2012. Remote sensing of algal blooms: An overview with case studies. Journal of coastal research 28, 34–43.</w:t>
      </w:r>
    </w:p>
    <w:bookmarkEnd w:id="303"/>
    <w:bookmarkStart w:id="305"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304">
        <w:r>
          <w:rPr>
            <w:rStyle w:val="Hyperlink"/>
          </w:rPr>
          <w:t xml:space="preserve">https://doi.org/10.1063/1.44433</w:t>
        </w:r>
      </w:hyperlink>
    </w:p>
    <w:bookmarkEnd w:id="305"/>
    <w:bookmarkStart w:id="307" w:name="ref-R-yardstick"/>
    <w:p>
      <w:pPr>
        <w:pStyle w:val="Bibliography"/>
      </w:pPr>
      <w:r>
        <w:t xml:space="preserve">Kuhn, M., Vaughan, D., Hvitfeldt, E., 2024.</w:t>
      </w:r>
      <w:r>
        <w:t xml:space="preserve"> </w:t>
      </w:r>
      <w:hyperlink r:id="rId306">
        <w:r>
          <w:rPr>
            <w:rStyle w:val="Hyperlink"/>
          </w:rPr>
          <w:t xml:space="preserve">Yardstick: Tidy characterizations of model performance</w:t>
        </w:r>
      </w:hyperlink>
      <w:r>
        <w:t xml:space="preserve">.</w:t>
      </w:r>
    </w:p>
    <w:bookmarkEnd w:id="307"/>
    <w:bookmarkStart w:id="309" w:name="ref-tidymodels2020"/>
    <w:p>
      <w:pPr>
        <w:pStyle w:val="Bibliography"/>
      </w:pPr>
      <w:r>
        <w:t xml:space="preserve">Kuhn, M., Wickham, H., 2020.</w:t>
      </w:r>
      <w:r>
        <w:t xml:space="preserve"> </w:t>
      </w:r>
      <w:hyperlink r:id="rId308">
        <w:r>
          <w:rPr>
            <w:rStyle w:val="Hyperlink"/>
          </w:rPr>
          <w:t xml:space="preserve">Tidymodels: A collection of packages for modeling and machine learning using tidyverse principles.</w:t>
        </w:r>
      </w:hyperlink>
    </w:p>
    <w:bookmarkEnd w:id="309"/>
    <w:bookmarkStart w:id="311"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310">
        <w:r>
          <w:rPr>
            <w:rStyle w:val="Hyperlink"/>
          </w:rPr>
          <w:t xml:space="preserve">https://doi.org/10.1016/j.ecss.2005.12.004</w:t>
        </w:r>
      </w:hyperlink>
    </w:p>
    <w:bookmarkEnd w:id="311"/>
    <w:bookmarkStart w:id="312"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312"/>
    <w:bookmarkStart w:id="313"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313"/>
    <w:bookmarkStart w:id="314" w:name="ref-Legare2022"/>
    <w:p>
      <w:pPr>
        <w:pStyle w:val="Bibliography"/>
      </w:pPr>
      <w:r>
        <w:t xml:space="preserve">Légaré, B., Bélanger, S., Singh, R.K., Bernatchez, P., Cusson, M., 2022a. Remote sensing of coastal vegetation phenology in a cold temperate intertidal system: Implications for classification of coastal habitats. Remote Sensing 14, 3000.</w:t>
      </w:r>
    </w:p>
    <w:bookmarkEnd w:id="314"/>
    <w:bookmarkStart w:id="315" w:name="ref-legare2022remote"/>
    <w:p>
      <w:pPr>
        <w:pStyle w:val="Bibliography"/>
      </w:pPr>
      <w:r>
        <w:t xml:space="preserve">Légaré, B., Bélanger, S., Singh, R.K., Bernatchez, P., Cusson, M., 2022b. Remote sensing of coastal vegetation phenology in a cold temperate intertidal system: Implications for classification of coastal habitats. Remote Sensing 14, 3000.</w:t>
      </w:r>
    </w:p>
    <w:bookmarkEnd w:id="315"/>
    <w:bookmarkStart w:id="316"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316"/>
    <w:bookmarkStart w:id="317"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317"/>
    <w:bookmarkStart w:id="318"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318"/>
    <w:bookmarkStart w:id="319"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319"/>
    <w:bookmarkStart w:id="320"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320"/>
    <w:bookmarkStart w:id="321" w:name="ref-louime2017sargassum"/>
    <w:p>
      <w:pPr>
        <w:pStyle w:val="Bibliography"/>
      </w:pPr>
      <w:r>
        <w:t xml:space="preserve">Louime, C., Fortune, J., Gervais, G., 2017. Sargassum invasion of coastal environments: A growing concern. American Journal of Environmental Sciences 13, 58–64.</w:t>
      </w:r>
    </w:p>
    <w:bookmarkEnd w:id="321"/>
    <w:bookmarkStart w:id="322"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322"/>
    <w:bookmarkStart w:id="323"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323"/>
    <w:bookmarkStart w:id="324"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324"/>
    <w:bookmarkStart w:id="326" w:name="ref-Mcilwaine2019"/>
    <w:p>
      <w:pPr>
        <w:pStyle w:val="Bibliography"/>
      </w:pPr>
      <w:r>
        <w:t xml:space="preserve">Mcilwaine, B., Casado, M.R., Leinster, P., 2019.</w:t>
      </w:r>
      <w:r>
        <w:t xml:space="preserve"> </w:t>
      </w:r>
      <w:r>
        <w:t xml:space="preserve">Using 1st derivative reflectance signatures within a remote sensing framework to identify macroalgae in Marine environments</w:t>
      </w:r>
      <w:r>
        <w:t xml:space="preserve">. Remote Sensing 11, 1–23.</w:t>
      </w:r>
      <w:r>
        <w:t xml:space="preserve"> </w:t>
      </w:r>
      <w:hyperlink r:id="rId325">
        <w:r>
          <w:rPr>
            <w:rStyle w:val="Hyperlink"/>
          </w:rPr>
          <w:t xml:space="preserve">https://doi.org/10.3390/rs11060704</w:t>
        </w:r>
      </w:hyperlink>
    </w:p>
    <w:bookmarkEnd w:id="326"/>
    <w:bookmarkStart w:id="327" w:name="ref-mckenzie2020global"/>
    <w:p>
      <w:pPr>
        <w:pStyle w:val="Bibliography"/>
      </w:pPr>
      <w:r>
        <w:t xml:space="preserve">McKenzie, Len J., Nordlund, L.M., Jones, B.L., Cullen-Unsworth, L.C., Roelfsema, C., Unsworth, R.K., 2020a. The global distribution of seagrass meadows. Environmental Research Letters 15, 074041.</w:t>
      </w:r>
    </w:p>
    <w:bookmarkEnd w:id="327"/>
    <w:bookmarkStart w:id="328" w:name="ref-McKenzie2020"/>
    <w:p>
      <w:pPr>
        <w:pStyle w:val="Bibliography"/>
      </w:pPr>
      <w:r>
        <w:t xml:space="preserve">McKenzie, Len J., Nordlund, L.M., Jones, B.L., Cullen-Unsworth, L.C., Roelfsema, C., Unsworth, R.K.F., 2020b.</w:t>
      </w:r>
      <w:r>
        <w:t xml:space="preserve"> </w:t>
      </w:r>
      <w:r>
        <w:t xml:space="preserve">The global distribution of seagrass meadows</w:t>
      </w:r>
      <w:r>
        <w:t xml:space="preserve">. Environmental Research Letters 15.</w:t>
      </w:r>
    </w:p>
    <w:bookmarkEnd w:id="328"/>
    <w:bookmarkStart w:id="329"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329"/>
    <w:bookmarkStart w:id="330"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330"/>
    <w:bookmarkStart w:id="331" w:name="ref-meleder2018microphytobenthos"/>
    <w:p>
      <w:pPr>
        <w:pStyle w:val="Bibliography"/>
      </w:pPr>
      <w:r>
        <w:t xml:space="preserve">Méléder, V., Jesus, B., Barnett, A., Barillé, L., Lavaud, J., 2018. Microphytobenthos primary production estimated by hyperspectral reflectance. PloS one 13, e0197093.</w:t>
      </w:r>
    </w:p>
    <w:bookmarkEnd w:id="331"/>
    <w:bookmarkStart w:id="333" w:name="ref-Meleder2013"/>
    <w:p>
      <w:pPr>
        <w:pStyle w:val="Bibliography"/>
      </w:pPr>
      <w:r>
        <w:t xml:space="preserve">Méléder, V., Laviale, M., Jesus, B., Mouget, J.L., Lavaud, J., Kazemipour, F., Launeau, P., Barillé, L., 2013a.</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332">
        <w:r>
          <w:rPr>
            <w:rStyle w:val="Hyperlink"/>
          </w:rPr>
          <w:t xml:space="preserve">https://doi.org/10.1016/j.jphotobiol.2013.10.005</w:t>
        </w:r>
      </w:hyperlink>
    </w:p>
    <w:bookmarkEnd w:id="333"/>
    <w:bookmarkStart w:id="334" w:name="ref-meleder2013vivo"/>
    <w:p>
      <w:pPr>
        <w:pStyle w:val="Bibliography"/>
      </w:pPr>
      <w:r>
        <w:t xml:space="preserve">Méléder, V., Laviale, M., Jesus, B., Mouget, J.L., Lavaud, J., Kazemipour, F., Launeau, P., Barillé, L., 2013b. In vivo estimation of pigment composition and optical absorption cross-section by spectroradiometry in four aquatic photosynthetic micro-organisms. Journal of Photochemistry and Photobiology B: Biology 129, 115–124.</w:t>
      </w:r>
    </w:p>
    <w:bookmarkEnd w:id="334"/>
    <w:bookmarkStart w:id="335"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335"/>
    <w:bookmarkStart w:id="337"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336">
        <w:r>
          <w:rPr>
            <w:rStyle w:val="Hyperlink"/>
          </w:rPr>
          <w:t xml:space="preserve">https://doi.org/10.1111/GCB.14108</w:t>
        </w:r>
      </w:hyperlink>
    </w:p>
    <w:bookmarkEnd w:id="337"/>
    <w:bookmarkStart w:id="339"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338">
        <w:r>
          <w:rPr>
            <w:rStyle w:val="Hyperlink"/>
          </w:rPr>
          <w:t xml:space="preserve">https://doi.org/10.1038/s41598-021-83597-z</w:t>
        </w:r>
      </w:hyperlink>
    </w:p>
    <w:bookmarkEnd w:id="339"/>
    <w:bookmarkStart w:id="341"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340">
        <w:r>
          <w:rPr>
            <w:rStyle w:val="Hyperlink"/>
          </w:rPr>
          <w:t xml:space="preserve">https://doi.org/10.1017/s0031182002001476</w:t>
        </w:r>
      </w:hyperlink>
    </w:p>
    <w:bookmarkEnd w:id="341"/>
    <w:bookmarkStart w:id="343" w:name="ref-Muller-Karger2018"/>
    <w:p>
      <w:pPr>
        <w:pStyle w:val="Bibliography"/>
      </w:pPr>
      <w:r>
        <w:t xml:space="preserve">Muller-Karger, Frank 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2018a.</w:t>
      </w:r>
      <w:r>
        <w:t xml:space="preserve"> </w:t>
      </w:r>
      <w:r>
        <w:t xml:space="preserve">Satellite sensor requirements for monitoring essential biodiversity variables of coastal ecosystems</w:t>
      </w:r>
      <w:r>
        <w:t xml:space="preserve">. Ecological Applications 28, 749–760.</w:t>
      </w:r>
      <w:r>
        <w:t xml:space="preserve"> </w:t>
      </w:r>
      <w:hyperlink r:id="rId342">
        <w:r>
          <w:rPr>
            <w:rStyle w:val="Hyperlink"/>
          </w:rPr>
          <w:t xml:space="preserve">https://doi.org/10.1002/eap.1682</w:t>
        </w:r>
      </w:hyperlink>
    </w:p>
    <w:bookmarkEnd w:id="343"/>
    <w:bookmarkStart w:id="344" w:name="ref-muller2018satellite"/>
    <w:p>
      <w:pPr>
        <w:pStyle w:val="Bibliography"/>
      </w:pPr>
      <w:r>
        <w:t xml:space="preserve">Muller-Karger, Frank E., Hestir, E., Ade, C., Turpie, K., Roberts, D.A., Siegel, D., Miller, R.J., Humm, D., Izenberg, N., Keller, M., others, 2018b. Satellite sensor requirements for monitoring essential biodiversity variables of coastal ecosystems. Ecological applications 28, 749–760.</w:t>
      </w:r>
    </w:p>
    <w:bookmarkEnd w:id="344"/>
    <w:bookmarkStart w:id="345" w:name="ref-muller10satellite"/>
    <w:p>
      <w:pPr>
        <w:pStyle w:val="Bibliography"/>
      </w:pPr>
      <w:r>
        <w:t xml:space="preserve">Muller-Karger, F., Hestir, E., Ade, C., Turpie, K., Roberts, D., Siegel, D., Miller, R., Humm, D., Izenberg, N., Keller, M., others, 2018. Satellite sensor requirements for monitoring essential biodiversity variables of coastal ecosystems., 2018, 28. DOI: https://doi. org/10.1002/eap 1682, 749–760.</w:t>
      </w:r>
    </w:p>
    <w:bookmarkEnd w:id="345"/>
    <w:bookmarkStart w:id="346" w:name="ref-murray2019global"/>
    <w:p>
      <w:pPr>
        <w:pStyle w:val="Bibliography"/>
      </w:pPr>
      <w:r>
        <w:t xml:space="preserve">Murray, N.J., Phinn, S.R., DeWitt, M., Ferrari, R., Johnston, R., Lyons, M.B., Clinton, N., Thau, D., Fuller, R.A., 2019. The global distribution and trajectory of tidal flats. Nature 565, 222–225.</w:t>
      </w:r>
    </w:p>
    <w:bookmarkEnd w:id="346"/>
    <w:bookmarkStart w:id="348" w:name="ref-Murray2019"/>
    <w:p>
      <w:pPr>
        <w:pStyle w:val="Bibliography"/>
      </w:pPr>
      <w:r>
        <w:t xml:space="preserve">Murray, Nicholas 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347">
        <w:r>
          <w:rPr>
            <w:rStyle w:val="Hyperlink"/>
          </w:rPr>
          <w:t xml:space="preserve">https://doi.org/10.1038/s41586-018-0805-8</w:t>
        </w:r>
      </w:hyperlink>
    </w:p>
    <w:bookmarkEnd w:id="348"/>
    <w:bookmarkStart w:id="349"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349"/>
    <w:bookmarkStart w:id="350" w:name="ref-nguyen2021"/>
    <w:p>
      <w:pPr>
        <w:pStyle w:val="Bibliography"/>
      </w:pPr>
      <w:r>
        <w:t xml:space="preserve">Nguyen, H.M., Ralph, P.J., Marı́n-Guirao, L., Pernice, M., Procaccini, G., 2021. Seagrasses in an era of ocean warming: A review. Biological Reviews 96, 2009–2030.</w:t>
      </w:r>
    </w:p>
    <w:bookmarkEnd w:id="350"/>
    <w:bookmarkStart w:id="352" w:name="ref-Nijland2019"/>
    <w:p>
      <w:pPr>
        <w:pStyle w:val="Bibliography"/>
      </w:pPr>
      <w:r>
        <w:t xml:space="preserve">Nijland, W., Reshitnyk, L., Rubidge, E., 2019a.</w:t>
      </w:r>
      <w:r>
        <w:t xml:space="preserve"> </w:t>
      </w:r>
      <w:r>
        <w:t xml:space="preserve">Satellite remote sensing of canopy-forming kelp on a complex coastline: A novel procedure using the Landsat image archive</w:t>
      </w:r>
      <w:r>
        <w:t xml:space="preserve">. Remote Sensing of Environment 220, 41–50.</w:t>
      </w:r>
      <w:r>
        <w:t xml:space="preserve"> </w:t>
      </w:r>
      <w:hyperlink r:id="rId351">
        <w:r>
          <w:rPr>
            <w:rStyle w:val="Hyperlink"/>
          </w:rPr>
          <w:t xml:space="preserve">https://doi.org/10.1016/j.rse.2018.10.032</w:t>
        </w:r>
      </w:hyperlink>
    </w:p>
    <w:bookmarkEnd w:id="352"/>
    <w:bookmarkStart w:id="353" w:name="ref-nijland2019"/>
    <w:p>
      <w:pPr>
        <w:pStyle w:val="Bibliography"/>
      </w:pPr>
      <w:r>
        <w:t xml:space="preserve">Nijland, W., Reshitnyk, L., Rubidge, E., 2019b. Satellite remote sensing of canopy-forming kelp on a complex coastline: A novel procedure using the landsat image archive. Remote Sensing of Environment 220, 41–50.</w:t>
      </w:r>
    </w:p>
    <w:bookmarkEnd w:id="353"/>
    <w:bookmarkStart w:id="354"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354"/>
    <w:bookmarkStart w:id="355" w:name="ref-oh2017use"/>
    <w:p>
      <w:pPr>
        <w:pStyle w:val="Bibliography"/>
      </w:pPr>
      <w:r>
        <w:t xml:space="preserve">Oh, J., Kim, D., Lee, H., 2017. Use of a drone for mapping and time series image acquisition of tidal zones. Journal of the Korean Institute of Intelligent Systems 27, 119–125.</w:t>
      </w:r>
    </w:p>
    <w:bookmarkEnd w:id="355"/>
    <w:bookmarkStart w:id="357" w:name="ref-Oiry2021"/>
    <w:p>
      <w:pPr>
        <w:pStyle w:val="Bibliography"/>
      </w:pPr>
      <w:r>
        <w:t xml:space="preserve">Oiry, S., Barillé, L., 2021b.</w:t>
      </w:r>
      <w:r>
        <w:t xml:space="preserve"> </w:t>
      </w:r>
      <w:r>
        <w:t xml:space="preserve">Using sentinel-2 satellite imagery to develop microphytobenthos-based water quality indices in estuaries</w:t>
      </w:r>
      <w:r>
        <w:t xml:space="preserve">. Ecological Indicators 121.</w:t>
      </w:r>
      <w:r>
        <w:t xml:space="preserve"> </w:t>
      </w:r>
      <w:hyperlink r:id="rId356">
        <w:r>
          <w:rPr>
            <w:rStyle w:val="Hyperlink"/>
          </w:rPr>
          <w:t xml:space="preserve">https://doi.org/10.1016/j.ecolind.2020.107184</w:t>
        </w:r>
      </w:hyperlink>
    </w:p>
    <w:bookmarkEnd w:id="357"/>
    <w:bookmarkStart w:id="358" w:name="ref-oiry2021using"/>
    <w:p>
      <w:pPr>
        <w:pStyle w:val="Bibliography"/>
      </w:pPr>
      <w:r>
        <w:t xml:space="preserve">Oiry, S., Barillé, L., 2021a. Using sentinel-2 satellite imagery to develop microphytobenthos-based water quality indices in estuaries. Ecological Indicators 121, 107184.</w:t>
      </w:r>
    </w:p>
    <w:bookmarkEnd w:id="358"/>
    <w:bookmarkStart w:id="360"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359">
        <w:r>
          <w:rPr>
            <w:rStyle w:val="Hyperlink"/>
          </w:rPr>
          <w:t xml:space="preserve">Vegan: Community ecology package</w:t>
        </w:r>
      </w:hyperlink>
      <w:r>
        <w:t xml:space="preserve">.</w:t>
      </w:r>
    </w:p>
    <w:bookmarkEnd w:id="360"/>
    <w:bookmarkStart w:id="362" w:name="ref-Olmedo-Masat2020"/>
    <w:p>
      <w:pPr>
        <w:pStyle w:val="Bibliography"/>
      </w:pPr>
      <w:r>
        <w:t xml:space="preserve">Olmedo-Masat, O.M., Paula Raffo, M., Rodríguez-Pérez, D., Arijón, M., Sánchez-Carnero, N., 2020.</w:t>
      </w:r>
      <w:r>
        <w:t xml:space="preserve"> </w:t>
      </w:r>
      <w:r>
        <w:t xml:space="preserve">How far can we classify macroalgae remotely? An example using a new spectral library of species from the south west atlantic (argentine patagonia)</w:t>
      </w:r>
      <w:r>
        <w:t xml:space="preserve">. Remote Sensing 12, 1–33.</w:t>
      </w:r>
      <w:r>
        <w:t xml:space="preserve"> </w:t>
      </w:r>
      <w:hyperlink r:id="rId361">
        <w:r>
          <w:rPr>
            <w:rStyle w:val="Hyperlink"/>
          </w:rPr>
          <w:t xml:space="preserve">https://doi.org/10.3390/rs12233870</w:t>
        </w:r>
      </w:hyperlink>
    </w:p>
    <w:bookmarkEnd w:id="362"/>
    <w:bookmarkStart w:id="363"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363"/>
    <w:bookmarkStart w:id="364"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364"/>
    <w:bookmarkStart w:id="366"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365">
        <w:r>
          <w:rPr>
            <w:rStyle w:val="Hyperlink"/>
          </w:rPr>
          <w:t xml:space="preserve">https://doi.org/10.5281/zenodo.3463051</w:t>
        </w:r>
      </w:hyperlink>
    </w:p>
    <w:bookmarkEnd w:id="366"/>
    <w:bookmarkStart w:id="367"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 R</w:t>
      </w:r>
      <w:r>
        <w:t xml:space="preserve">é</w:t>
      </w:r>
      <w:r>
        <w:t xml:space="preserve">cup</w:t>
      </w:r>
      <w:r>
        <w:t xml:space="preserve">é</w:t>
      </w:r>
      <w:r>
        <w:t xml:space="preserve">r</w:t>
      </w:r>
      <w:r>
        <w:t xml:space="preserve">é</w:t>
      </w:r>
      <w:r>
        <w:t xml:space="preserve"> </w:t>
      </w:r>
      <w:r>
        <w:t xml:space="preserve">de: http://eur-lex. europa. eu/legal-content/FR/TXT/PDF.</w:t>
      </w:r>
    </w:p>
    <w:bookmarkEnd w:id="367"/>
    <w:bookmarkStart w:id="368"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368"/>
    <w:bookmarkStart w:id="369" w:name="ref-pereira2013essential"/>
    <w:p>
      <w:pPr>
        <w:pStyle w:val="Bibliography"/>
      </w:pPr>
      <w:r>
        <w:t xml:space="preserve">Pereira, H.M., Ferrier, S., Walters, M., Geller, G.N., Jongman, R.H., Scholes, R.J., Bruford, M.W., Brummitt, N., Butchart, S.H., Cardoso, A., others, 2013a. Essential biodiversity variables. Science 339, 277–278.</w:t>
      </w:r>
    </w:p>
    <w:bookmarkEnd w:id="369"/>
    <w:bookmarkStart w:id="370" w:name="ref-Pereira2013"/>
    <w:p>
      <w:pPr>
        <w:pStyle w:val="Bibliography"/>
      </w:pPr>
      <w:r>
        <w:t xml:space="preserve">Pereira, H.M., Ferrier, S., Walters, M., Geller, G.N., Jongman, R.H., Scholes, R.J., Bruford, M.W., Brummitt, N., Butchart, S.H., Cardoso, A., others, 2013b. Essential biodiversity variables. Science 339, 277–278.</w:t>
      </w:r>
    </w:p>
    <w:bookmarkEnd w:id="370"/>
    <w:bookmarkStart w:id="371"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371"/>
    <w:bookmarkStart w:id="372"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372"/>
    <w:bookmarkStart w:id="373"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373"/>
    <w:bookmarkStart w:id="375" w:name="ref-R-base"/>
    <w:p>
      <w:pPr>
        <w:pStyle w:val="Bibliography"/>
      </w:pPr>
      <w:r>
        <w:t xml:space="preserve">R Core Team, 2023.</w:t>
      </w:r>
      <w:r>
        <w:t xml:space="preserve"> </w:t>
      </w:r>
      <w:hyperlink r:id="rId374">
        <w:r>
          <w:rPr>
            <w:rStyle w:val="Hyperlink"/>
          </w:rPr>
          <w:t xml:space="preserve">R: A language and environment for statistical computing</w:t>
        </w:r>
      </w:hyperlink>
      <w:r>
        <w:t xml:space="preserve">. R Foundation for Statistical Computing, Vienna, Austria.</w:t>
      </w:r>
    </w:p>
    <w:bookmarkEnd w:id="375"/>
    <w:bookmarkStart w:id="376"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376"/>
    <w:bookmarkStart w:id="377" w:name="ref-rasheed2011long"/>
    <w:p>
      <w:pPr>
        <w:pStyle w:val="Bibliography"/>
      </w:pPr>
      <w:r>
        <w:t xml:space="preserve">Rasheed, M.A., Unsworth, R.K., 2011. Long-term climate-associated dynamics of a tropical seagrass meadow: Implications for the future. Marine Ecology Progress Series 422, 93–103.</w:t>
      </w:r>
    </w:p>
    <w:bookmarkEnd w:id="377"/>
    <w:bookmarkStart w:id="378"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378"/>
    <w:bookmarkStart w:id="379"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379"/>
    <w:bookmarkStart w:id="380"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380"/>
    <w:bookmarkStart w:id="382"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381">
        <w:r>
          <w:rPr>
            <w:rStyle w:val="Hyperlink"/>
          </w:rPr>
          <w:t xml:space="preserve">https://doi.org/10.3389/fmars.2022.1004012</w:t>
        </w:r>
      </w:hyperlink>
    </w:p>
    <w:bookmarkEnd w:id="382"/>
    <w:bookmarkStart w:id="383" w:name="ref-Roman2021"/>
    <w:p>
      <w:pPr>
        <w:pStyle w:val="Bibliography"/>
      </w:pPr>
      <w:r>
        <w:t xml:space="preserve">Román, A., Tovar-Sánchez, A., Olivé, I., Navarro, G., 2021. Using a UAV-mounted multispectral camera for the monitoring of marine macrophytes. Frontiers in Marine Science 1225.</w:t>
      </w:r>
    </w:p>
    <w:bookmarkEnd w:id="383"/>
    <w:bookmarkStart w:id="384" w:name="ref-rossiter2020uav"/>
    <w:p>
      <w:pPr>
        <w:pStyle w:val="Bibliography"/>
      </w:pPr>
      <w:r>
        <w:t xml:space="preserve">Rossiter, T., Furey, T., McCarthy, T., Stengel, D.B., 2020. UAV-mounted hyperspectral mapping of intertidal macroalgae. Estuarine, Coastal and Shelf Science 242, 106789.</w:t>
      </w:r>
    </w:p>
    <w:bookmarkEnd w:id="384"/>
    <w:bookmarkStart w:id="385" w:name="ref-Sage2020"/>
    <w:p>
      <w:pPr>
        <w:pStyle w:val="Bibliography"/>
      </w:pPr>
      <w:r>
        <w:t xml:space="preserve">Sage, R.F., 2020. Global change biology: A primer. Global Change Biology 26, 3–30.</w:t>
      </w:r>
    </w:p>
    <w:bookmarkEnd w:id="385"/>
    <w:bookmarkStart w:id="386"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386"/>
    <w:bookmarkStart w:id="388"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387">
        <w:r>
          <w:rPr>
            <w:rStyle w:val="Hyperlink"/>
          </w:rPr>
          <w:t xml:space="preserve">https://doi.org/10.1016/j.ecoser.2022.101414</w:t>
        </w:r>
      </w:hyperlink>
    </w:p>
    <w:bookmarkEnd w:id="388"/>
    <w:bookmarkStart w:id="390"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389">
        <w:r>
          <w:rPr>
            <w:rStyle w:val="Hyperlink"/>
          </w:rPr>
          <w:t xml:space="preserve">https://doi.org/10.3389/fevo.2021.767548</w:t>
        </w:r>
      </w:hyperlink>
    </w:p>
    <w:bookmarkEnd w:id="390"/>
    <w:bookmarkStart w:id="391" w:name="ref-Schmidt2003"/>
    <w:p>
      <w:pPr>
        <w:pStyle w:val="Bibliography"/>
      </w:pPr>
      <w:r>
        <w:t xml:space="preserve">Schmidt, K., Skidmore, A., 2003. Spectral discrimination of vegetation types in a coastal wetland. Remote sensing of Environment 85, 92–108.</w:t>
      </w:r>
    </w:p>
    <w:bookmarkEnd w:id="391"/>
    <w:bookmarkStart w:id="392" w:name="ref-schneider2012nih"/>
    <w:p>
      <w:pPr>
        <w:pStyle w:val="Bibliography"/>
      </w:pPr>
      <w:r>
        <w:t xml:space="preserve">Schneider, C.A., Rasband, W.S., Eliceiri, K.W., 2012. NIH image to ImageJ: 25 years of image analysis. Nature methods 9, 671–675.</w:t>
      </w:r>
    </w:p>
    <w:bookmarkEnd w:id="392"/>
    <w:bookmarkStart w:id="394"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393">
        <w:r>
          <w:rPr>
            <w:rStyle w:val="Hyperlink"/>
          </w:rPr>
          <w:t xml:space="preserve">https://doi.org/10.3390/rs13081408</w:t>
        </w:r>
      </w:hyperlink>
    </w:p>
    <w:bookmarkEnd w:id="394"/>
    <w:bookmarkStart w:id="396"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395">
        <w:r>
          <w:rPr>
            <w:rStyle w:val="Hyperlink"/>
          </w:rPr>
          <w:t xml:space="preserve">https://doi.org/10.1016/j.marenvres.2021.105475</w:t>
        </w:r>
      </w:hyperlink>
    </w:p>
    <w:bookmarkEnd w:id="396"/>
    <w:bookmarkStart w:id="397"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397"/>
    <w:bookmarkStart w:id="399" w:name="ref-shom"/>
    <w:p>
      <w:pPr>
        <w:pStyle w:val="Bibliography"/>
      </w:pPr>
      <w:r>
        <w:t xml:space="preserve">SHOM, 2024.</w:t>
      </w:r>
      <w:r>
        <w:t xml:space="preserve"> </w:t>
      </w:r>
      <w:hyperlink r:id="rId398">
        <w:r>
          <w:rPr>
            <w:rStyle w:val="Hyperlink"/>
          </w:rPr>
          <w:t xml:space="preserve">Service hydrographique et océanographique de la marine (SHOM)</w:t>
        </w:r>
      </w:hyperlink>
      <w:r>
        <w:t xml:space="preserve">.</w:t>
      </w:r>
    </w:p>
    <w:bookmarkEnd w:id="399"/>
    <w:bookmarkStart w:id="401" w:name="Xbef41143b4d4042e58f11cfc27e216202646012"/>
    <w:p>
      <w:pPr>
        <w:pStyle w:val="Bibliography"/>
      </w:pPr>
      <w:r>
        <w:t xml:space="preserve">SHOM, 2021.</w:t>
      </w:r>
      <w:r>
        <w:t xml:space="preserve"> </w:t>
      </w:r>
      <w:hyperlink r:id="rId400">
        <w:r>
          <w:rPr>
            <w:rStyle w:val="Hyperlink"/>
          </w:rPr>
          <w:t xml:space="preserve">Service hydrographique et océanographique de la marine ; bathymétrie Litto3D® bretagne 2018-2021</w:t>
        </w:r>
      </w:hyperlink>
      <w:r>
        <w:t xml:space="preserve">.</w:t>
      </w:r>
    </w:p>
    <w:bookmarkEnd w:id="401"/>
    <w:bookmarkStart w:id="402"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402"/>
    <w:bookmarkStart w:id="404" w:name="ref-Slaton2001"/>
    <w:p>
      <w:pPr>
        <w:pStyle w:val="Bibliography"/>
      </w:pPr>
      <w:r>
        <w:t xml:space="preserve">Slaton, M.R., Raymond Hunt Jr., E., Smith, W.K., 2001. Estimating near-infrared leaf reflectance from leaf structural characteristics. American Journal of Botany 88, 278–284. https://doi.org/</w:t>
      </w:r>
      <w:hyperlink r:id="rId403">
        <w:r>
          <w:rPr>
            <w:rStyle w:val="Hyperlink"/>
          </w:rPr>
          <w:t xml:space="preserve">https://doi.org/10.2307/2657019</w:t>
        </w:r>
      </w:hyperlink>
    </w:p>
    <w:bookmarkEnd w:id="404"/>
    <w:bookmarkStart w:id="405"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405"/>
    <w:bookmarkStart w:id="406"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406"/>
    <w:bookmarkStart w:id="407"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407"/>
    <w:bookmarkStart w:id="408"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408"/>
    <w:bookmarkStart w:id="409"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409"/>
    <w:bookmarkStart w:id="410"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410"/>
    <w:bookmarkStart w:id="412" w:name="ref-Traganos2018"/>
    <w:p>
      <w:pPr>
        <w:pStyle w:val="Bibliography"/>
      </w:pPr>
      <w:r>
        <w:t xml:space="preserve">Traganos, D., Reinartz, P., 2018. Mapping mediterranean seagrasses with sentinel-2 imagery. Marine Pollution Bulletin 134, 197–209.</w:t>
      </w:r>
      <w:r>
        <w:t xml:space="preserve"> </w:t>
      </w:r>
      <w:hyperlink r:id="rId411">
        <w:r>
          <w:rPr>
            <w:rStyle w:val="Hyperlink"/>
          </w:rPr>
          <w:t xml:space="preserve">https://doi.org/10.1016/j.marpolbul.2017.06.075</w:t>
        </w:r>
      </w:hyperlink>
    </w:p>
    <w:bookmarkEnd w:id="412"/>
    <w:bookmarkStart w:id="413"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413"/>
    <w:bookmarkStart w:id="414"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414"/>
    <w:bookmarkStart w:id="415" w:name="ref-Unsworth2022"/>
    <w:p>
      <w:pPr>
        <w:pStyle w:val="Bibliography"/>
      </w:pPr>
      <w:r>
        <w:t xml:space="preserve">Unsworth, R.K., Cullen-Unsworth, L.C., Jones, B.L., Lilley, R.J., 2022a. The planetary role of seagrass conservation. Science 377, 609–613.</w:t>
      </w:r>
    </w:p>
    <w:bookmarkEnd w:id="415"/>
    <w:bookmarkStart w:id="416" w:name="ref-unsworth2022"/>
    <w:p>
      <w:pPr>
        <w:pStyle w:val="Bibliography"/>
      </w:pPr>
      <w:r>
        <w:t xml:space="preserve">Unsworth, R.K., Cullen-Unsworth, L.C., Jones, B.L., Lilley, R.J., 2022b. The planetary role of seagrass conservation. Science 377, 609–613.</w:t>
      </w:r>
    </w:p>
    <w:bookmarkEnd w:id="416"/>
    <w:bookmarkStart w:id="418" w:name="ref-Unsworth2019"/>
    <w:p>
      <w:pPr>
        <w:pStyle w:val="Bibliography"/>
      </w:pPr>
      <w:r>
        <w:t xml:space="preserve">Unsworth, R.K.F., McKenzie, L.J., Collier, C.J., Cullen-Unsworth, L.C., Duarte, C.M., Eklöf, J.S., Jarvis, J.C., Jones, B.L., Nordlund, L.M., 2019a.</w:t>
      </w:r>
      <w:r>
        <w:t xml:space="preserve"> </w:t>
      </w:r>
      <w:r>
        <w:t xml:space="preserve">Global challenges for seagrass conservation</w:t>
      </w:r>
      <w:r>
        <w:t xml:space="preserve">. Ambio 48, 801–815.</w:t>
      </w:r>
      <w:r>
        <w:t xml:space="preserve"> </w:t>
      </w:r>
      <w:hyperlink r:id="rId417">
        <w:r>
          <w:rPr>
            <w:rStyle w:val="Hyperlink"/>
          </w:rPr>
          <w:t xml:space="preserve">https://doi.org/10.1007/s13280-018-1115-y</w:t>
        </w:r>
      </w:hyperlink>
    </w:p>
    <w:bookmarkEnd w:id="418"/>
    <w:bookmarkStart w:id="420" w:name="ref-Unsworth2019a"/>
    <w:p>
      <w:pPr>
        <w:pStyle w:val="Bibliography"/>
      </w:pPr>
      <w:r>
        <w:t xml:space="preserve">Unsworth, R.K.F., Nordlund, L.M., Cullen-Unsworth, L.C., 2019b.</w:t>
      </w:r>
      <w:r>
        <w:t xml:space="preserve"> </w:t>
      </w:r>
      <w:r>
        <w:t xml:space="preserve">Seagrass meadows support global fisheries production</w:t>
      </w:r>
      <w:r>
        <w:t xml:space="preserve">. Conservation Letters 12, 1–8.</w:t>
      </w:r>
      <w:r>
        <w:t xml:space="preserve"> </w:t>
      </w:r>
      <w:hyperlink r:id="rId419">
        <w:r>
          <w:rPr>
            <w:rStyle w:val="Hyperlink"/>
          </w:rPr>
          <w:t xml:space="preserve">https://doi.org/10.1111/conl.12566</w:t>
        </w:r>
      </w:hyperlink>
    </w:p>
    <w:bookmarkEnd w:id="420"/>
    <w:bookmarkStart w:id="421" w:name="ref-Ustin2020"/>
    <w:p>
      <w:pPr>
        <w:pStyle w:val="Bibliography"/>
      </w:pPr>
      <w:r>
        <w:t xml:space="preserve">Ustin, S.L., Jacquemoud, S., 2020. How the optical properties of leaves modify the absorption and scattering of energy and enhance leaf functionality, in: Remote Sensing of Plant Biodiversity. Springer, Cham, pp. 349–384.</w:t>
      </w:r>
    </w:p>
    <w:bookmarkEnd w:id="421"/>
    <w:bookmarkStart w:id="423"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422">
        <w:r>
          <w:rPr>
            <w:rStyle w:val="Hyperlink"/>
          </w:rPr>
          <w:t xml:space="preserve">https://doi.org/10.1641/0006-3568(2004)054[0523:UISTSE]2.0.CO;2</w:t>
        </w:r>
      </w:hyperlink>
    </w:p>
    <w:bookmarkEnd w:id="423"/>
    <w:bookmarkStart w:id="425"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424">
        <w:r>
          <w:rPr>
            <w:rStyle w:val="Hyperlink"/>
          </w:rPr>
          <w:t xml:space="preserve">https://doi.org/10.1127/0340-269X/2003/0033-0187</w:t>
        </w:r>
      </w:hyperlink>
    </w:p>
    <w:bookmarkEnd w:id="425"/>
    <w:bookmarkStart w:id="426" w:name="ref-Veettil2020"/>
    <w:p>
      <w:pPr>
        <w:pStyle w:val="Bibliography"/>
      </w:pPr>
      <w:r>
        <w:t xml:space="preserve">Veettil, B.K., Ward, R.D., Lima, M.D.A.C., Stankovic, M., Hoai, P.N., Quang, N.X., 2020a. Opportunities for seagrass research derived from remote sensing: A review of current methods. Ecological Indicators 117, 106560.</w:t>
      </w:r>
    </w:p>
    <w:bookmarkEnd w:id="426"/>
    <w:bookmarkStart w:id="427" w:name="ref-veettil2020opportunities"/>
    <w:p>
      <w:pPr>
        <w:pStyle w:val="Bibliography"/>
      </w:pPr>
      <w:r>
        <w:t xml:space="preserve">Veettil, B.K., Ward, R.D., Lima, M.D.A.C., Stankovic, M., Hoai, P.N., Quang, N.X., 2020b. Opportunities for seagrass research derived from remote sensing: A review of current methods. Ecological Indicators 117, 106560.</w:t>
      </w:r>
    </w:p>
    <w:bookmarkEnd w:id="427"/>
    <w:bookmarkStart w:id="428"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428"/>
    <w:bookmarkStart w:id="429"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429"/>
    <w:bookmarkStart w:id="430" w:name="ref-wang2022"/>
    <w:p>
      <w:pPr>
        <w:pStyle w:val="Bibliography"/>
      </w:pPr>
      <w:r>
        <w:t xml:space="preserve">Wang, Z., Fang, Z., Liang, J., Song, X., 2022. Assessment of global habitat suitability and risk of ocean green tides. Harmful Algae 119, 102324.</w:t>
      </w:r>
    </w:p>
    <w:bookmarkEnd w:id="430"/>
    <w:bookmarkStart w:id="432" w:name="ref-WEI2015399"/>
    <w:p>
      <w:pPr>
        <w:pStyle w:val="Bibliography"/>
      </w:pPr>
      <w:r>
        <w:t xml:space="preserve">Wei, P., Lu, Z., Song, J., 2015. Variable importance analysis: A comprehensive review. Reliability Engineering and System Safety 142, 399–432. https://doi.org/</w:t>
      </w:r>
      <w:hyperlink r:id="rId431">
        <w:r>
          <w:rPr>
            <w:rStyle w:val="Hyperlink"/>
          </w:rPr>
          <w:t xml:space="preserve">https://doi.org/10.1016/j.ress.2015.05.018</w:t>
        </w:r>
      </w:hyperlink>
    </w:p>
    <w:bookmarkEnd w:id="432"/>
    <w:bookmarkStart w:id="434" w:name="ref-R-ranger"/>
    <w:p>
      <w:pPr>
        <w:pStyle w:val="Bibliography"/>
      </w:pPr>
      <w:r>
        <w:t xml:space="preserve">Wright, M.N., 2024.</w:t>
      </w:r>
      <w:r>
        <w:t xml:space="preserve"> </w:t>
      </w:r>
      <w:hyperlink r:id="rId433">
        <w:r>
          <w:rPr>
            <w:rStyle w:val="Hyperlink"/>
          </w:rPr>
          <w:t xml:space="preserve">Ranger: A fast implementation of random forests</w:t>
        </w:r>
      </w:hyperlink>
      <w:r>
        <w:t xml:space="preserve">.</w:t>
      </w:r>
    </w:p>
    <w:bookmarkEnd w:id="434"/>
    <w:bookmarkStart w:id="435"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435"/>
    <w:bookmarkStart w:id="437"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436">
        <w:r>
          <w:rPr>
            <w:rStyle w:val="Hyperlink"/>
          </w:rPr>
          <w:t xml:space="preserve">https://doi.org/10.1155/2017/1353691</w:t>
        </w:r>
      </w:hyperlink>
    </w:p>
    <w:bookmarkEnd w:id="437"/>
    <w:bookmarkStart w:id="438"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438"/>
    <w:bookmarkStart w:id="439" w:name="ref-zhu2021deep"/>
    <w:p>
      <w:pPr>
        <w:pStyle w:val="Bibliography"/>
      </w:pPr>
      <w:r>
        <w:t xml:space="preserve">Zhu, Y., Huang, R., Wu, Z., Song, S., Cheng, L., Zhu, R., 2021. Deep learning-based predictive identification of neural stem cell differentiation. Nature communications 12, 2614.</w:t>
      </w:r>
    </w:p>
    <w:bookmarkEnd w:id="439"/>
    <w:bookmarkStart w:id="440" w:name="ref-zoffoli2021decadal"/>
    <w:p>
      <w:pPr>
        <w:pStyle w:val="Bibliography"/>
      </w:pPr>
      <w:r>
        <w:t xml:space="preserve">Zoffoli, M.L., Gernez, P., Godet, L., Peters, S., Oiry, S., Barillé, L., 2021a. Decadal increase in the ecological status of a north-atlantic intertidal seagrass meadow observed with multi-mission satellite time-series. Ecological Indicators 130, 108033.</w:t>
      </w:r>
    </w:p>
    <w:bookmarkEnd w:id="440"/>
    <w:bookmarkStart w:id="442" w:name="ref-Zoffoli2021"/>
    <w:p>
      <w:pPr>
        <w:pStyle w:val="Bibliography"/>
      </w:pPr>
      <w:r>
        <w:t xml:space="preserve">Zoffoli, M.L., Gernez, P., Godet, L., Peters, S., Oiry, S., Barillé, L., 2021b. Decadal increase in the ecological status of a north-atlantic intertidal seagrass meadow observed with multi-mission satellite time-series. Ecological Indicators 130, 108033.</w:t>
      </w:r>
      <w:r>
        <w:t xml:space="preserve"> </w:t>
      </w:r>
      <w:hyperlink r:id="rId441">
        <w:r>
          <w:rPr>
            <w:rStyle w:val="Hyperlink"/>
          </w:rPr>
          <w:t xml:space="preserve">https://doi.org/10.1016/j.ecolind.2021.108033</w:t>
        </w:r>
      </w:hyperlink>
    </w:p>
    <w:bookmarkEnd w:id="442"/>
    <w:bookmarkStart w:id="443"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
        <w:r>
          <w:rPr>
            <w:rStyle w:val="Hyperlink"/>
          </w:rPr>
          <w:t xml:space="preserve">https://doi.org/10.1002/rse2.319</w:t>
        </w:r>
      </w:hyperlink>
    </w:p>
    <w:bookmarkEnd w:id="443"/>
    <w:bookmarkStart w:id="444" w:name="ref-zoffoli2020sentinel"/>
    <w:p>
      <w:pPr>
        <w:pStyle w:val="Bibliography"/>
      </w:pPr>
      <w:r>
        <w:t xml:space="preserve">Zoffoli, M.L., Gernez, P., Rosa, P., Le Bris, A., Brando, Vittorio E., Barillé, A.-L., Harin, N., Peters, S., Poser, K., Spaias, L., others, 2020a. Sentinel-2 remote sensing of zostera noltei-dominated intertidal seagrass meadows. Remote Sensing of Environment 251, 112020.</w:t>
      </w:r>
    </w:p>
    <w:bookmarkEnd w:id="444"/>
    <w:bookmarkStart w:id="446" w:name="ref-ZOFFOLI2020112020"/>
    <w:p>
      <w:pPr>
        <w:pStyle w:val="Bibliography"/>
      </w:pPr>
      <w:r>
        <w:t xml:space="preserve">Zoffoli, M.L., Gernez, P., Rosa, P., Le Bris, A., Brando, Vittorio E., Barillé, A.-L., Harin, N., Peters, S., Poser, K., Spaias, L., Peralta, G., Barillé, L., 2020b. Sentinel-2 remote sensing of zostera noltei-dominated intertidal seagrass meadows. Remote Sensing of Environment 251, 112020. https://doi.org/</w:t>
      </w:r>
      <w:hyperlink r:id="rId445">
        <w:r>
          <w:rPr>
            <w:rStyle w:val="Hyperlink"/>
          </w:rPr>
          <w:t xml:space="preserve">https://doi.org/10.1016/j.rse.2020.112020</w:t>
        </w:r>
      </w:hyperlink>
    </w:p>
    <w:bookmarkEnd w:id="446"/>
    <w:bookmarkStart w:id="447" w:name="ref-Zoffoli2020"/>
    <w:p>
      <w:pPr>
        <w:pStyle w:val="Bibliography"/>
      </w:pPr>
      <w:r>
        <w:t xml:space="preserve">Zoffoli, M.L., Gernez, P., Rosa, P., Le Bris, A., Brando, Vittorio E., Barillé, A.L., Harin, N., Peters, S., Poser, K., Spaias, L., Peralta, G., Barillé, L., 2020c.</w:t>
      </w:r>
      <w:r>
        <w:t xml:space="preserve"> </w:t>
      </w:r>
      <w:r>
        <w:t xml:space="preserve">Sentinel-2 remote sensing of Zostera noltei-dominated intertidal seagrass meadows</w:t>
      </w:r>
      <w:r>
        <w:t xml:space="preserve">. Remote Sensing of Environment 251, 112020.</w:t>
      </w:r>
      <w:r>
        <w:t xml:space="preserve"> </w:t>
      </w:r>
      <w:hyperlink r:id="rId445">
        <w:r>
          <w:rPr>
            <w:rStyle w:val="Hyperlink"/>
          </w:rPr>
          <w:t xml:space="preserve">https://doi.org/10.1016/j.rse.2020.112020</w:t>
        </w:r>
      </w:hyperlink>
    </w:p>
    <w:bookmarkEnd w:id="447"/>
    <w:bookmarkEnd w:id="448"/>
    <w:bookmarkEnd w:id="449"/>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46" Target="media/rId46.jp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5" Target="media/rId65.jpg" /><Relationship Type="http://schemas.openxmlformats.org/officeDocument/2006/relationships/image" Id="rId73" Target="media/rId73.jpg" /><Relationship Type="http://schemas.openxmlformats.org/officeDocument/2006/relationships/image" Id="rId77" Target="media/rId77.jpg" /><Relationship Type="http://schemas.openxmlformats.org/officeDocument/2006/relationships/image" Id="rId82" Target="media/rId82.jpg" /><Relationship Type="http://schemas.openxmlformats.org/officeDocument/2006/relationships/image" Id="rId33" Target="media/rId33.png" /><Relationship Type="http://schemas.openxmlformats.org/officeDocument/2006/relationships/image" Id="rId69" Target="media/rId69.png" /><Relationship Type="http://schemas.openxmlformats.org/officeDocument/2006/relationships/image" Id="rId89" Target="media/rId89.png" /><Relationship Type="http://schemas.openxmlformats.org/officeDocument/2006/relationships/image" Id="rId100" Target="media/rId100.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72" Target="media/rId172.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10" Target="media/rId110.png" /><Relationship Type="http://schemas.openxmlformats.org/officeDocument/2006/relationships/image" Id="rId117" Target="media/rId117.png" /><Relationship Type="http://schemas.openxmlformats.org/officeDocument/2006/relationships/image" Id="rId135" Target="media/rId135.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7" Target="media/rId157.png" /><Relationship Type="http://schemas.openxmlformats.org/officeDocument/2006/relationships/image" Id="rId105" Target="media/rId105.png" /><Relationship Type="http://schemas.openxmlformats.org/officeDocument/2006/relationships/image" Id="rId121" Target="media/rId121.png" /><Relationship Type="http://schemas.openxmlformats.org/officeDocument/2006/relationships/hyperlink" Id="rId199" Target="http://prisma.asi.it/missionselect/docs/PRISMA%20Product%20Specifications_Is2_3.pdf" TargetMode="External" /><Relationship Type="http://schemas.openxmlformats.org/officeDocument/2006/relationships/hyperlink" Id="rId342"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28" Target="https://doi.org/10.1007/s00227-012-1987-5" TargetMode="External" /><Relationship Type="http://schemas.openxmlformats.org/officeDocument/2006/relationships/hyperlink" Id="rId212" Target="https://doi.org/10.1007/s003380050055" TargetMode="External" /><Relationship Type="http://schemas.openxmlformats.org/officeDocument/2006/relationships/hyperlink" Id="rId214" Target="https://doi.org/10.1007/s12237-021-00949-8" TargetMode="External" /><Relationship Type="http://schemas.openxmlformats.org/officeDocument/2006/relationships/hyperlink" Id="rId417" Target="https://doi.org/10.1007/s13280-018-1115-y" TargetMode="External" /><Relationship Type="http://schemas.openxmlformats.org/officeDocument/2006/relationships/hyperlink" Id="rId231" Target="https://doi.org/10.1016/j.algal.2017.04.021" TargetMode="External" /><Relationship Type="http://schemas.openxmlformats.org/officeDocument/2006/relationships/hyperlink" Id="rId209" Target="https://doi.org/10.1016/j.aquabot.2009.11.006" TargetMode="External" /><Relationship Type="http://schemas.openxmlformats.org/officeDocument/2006/relationships/hyperlink" Id="rId226" Target="https://doi.org/10.1016/j.csr.2013.01.010" TargetMode="External" /><Relationship Type="http://schemas.openxmlformats.org/officeDocument/2006/relationships/hyperlink" Id="rId239" Target="https://doi.org/10.1016/j.ecolind.2020.107018" TargetMode="External" /><Relationship Type="http://schemas.openxmlformats.org/officeDocument/2006/relationships/hyperlink" Id="rId356" Target="https://doi.org/10.1016/j.ecolind.2020.107184" TargetMode="External" /><Relationship Type="http://schemas.openxmlformats.org/officeDocument/2006/relationships/hyperlink" Id="rId441" Target="https://doi.org/10.1016/j.ecolind.2021.108033" TargetMode="External" /><Relationship Type="http://schemas.openxmlformats.org/officeDocument/2006/relationships/hyperlink" Id="rId387" Target="https://doi.org/10.1016/j.ecoser.2022.101414" TargetMode="External" /><Relationship Type="http://schemas.openxmlformats.org/officeDocument/2006/relationships/hyperlink" Id="rId310" Target="https://doi.org/10.1016/j.ecss.2005.12.004" TargetMode="External" /><Relationship Type="http://schemas.openxmlformats.org/officeDocument/2006/relationships/hyperlink" Id="rId274" Target="https://doi.org/10.1016/j.ecss.2021.107320" TargetMode="External" /><Relationship Type="http://schemas.openxmlformats.org/officeDocument/2006/relationships/hyperlink" Id="rId289" Target="https://doi.org/10.1016/j.envpol.2021.117731" TargetMode="External" /><Relationship Type="http://schemas.openxmlformats.org/officeDocument/2006/relationships/hyperlink" Id="rId204" Target="https://doi.org/10.1016/j.jembe.2013.04.012" TargetMode="External" /><Relationship Type="http://schemas.openxmlformats.org/officeDocument/2006/relationships/hyperlink" Id="rId332" Target="https://doi.org/10.1016/j.jphotobiol.2013.10.005" TargetMode="External" /><Relationship Type="http://schemas.openxmlformats.org/officeDocument/2006/relationships/hyperlink" Id="rId395" Target="https://doi.org/10.1016/j.marenvres.2021.105475" TargetMode="External" /><Relationship Type="http://schemas.openxmlformats.org/officeDocument/2006/relationships/hyperlink" Id="rId411" Target="https://doi.org/10.1016/j.marpolbul.2017.06.075" TargetMode="External" /><Relationship Type="http://schemas.openxmlformats.org/officeDocument/2006/relationships/hyperlink" Id="rId431" Target="https://doi.org/10.1016/j.ress.2015.05.018" TargetMode="External" /><Relationship Type="http://schemas.openxmlformats.org/officeDocument/2006/relationships/hyperlink" Id="rId207" Target="https://doi.org/10.1016/j.rse.2010.12.008" TargetMode="External" /><Relationship Type="http://schemas.openxmlformats.org/officeDocument/2006/relationships/hyperlink" Id="rId253" Target="https://doi.org/10.1016/j.rse.2015.01.027" TargetMode="External" /><Relationship Type="http://schemas.openxmlformats.org/officeDocument/2006/relationships/hyperlink" Id="rId286" Target="https://doi.org/10.1016/j.rse.2015.05.023" TargetMode="External" /><Relationship Type="http://schemas.openxmlformats.org/officeDocument/2006/relationships/hyperlink" Id="rId292" Target="https://doi.org/10.1016/j.rse.2017.01.037" TargetMode="External" /><Relationship Type="http://schemas.openxmlformats.org/officeDocument/2006/relationships/hyperlink" Id="rId351" Target="https://doi.org/10.1016/j.rse.2018.10.032" TargetMode="External" /><Relationship Type="http://schemas.openxmlformats.org/officeDocument/2006/relationships/hyperlink" Id="rId445" Target="https://doi.org/10.1016/j.rse.2020.112020" TargetMode="External" /><Relationship Type="http://schemas.openxmlformats.org/officeDocument/2006/relationships/hyperlink" Id="rId244" Target="https://doi.org/10.1016/j.rse.2023.113554" TargetMode="External" /><Relationship Type="http://schemas.openxmlformats.org/officeDocument/2006/relationships/hyperlink" Id="rId340" Target="https://doi.org/10.1017/s0031182002001476" TargetMode="External" /><Relationship Type="http://schemas.openxmlformats.org/officeDocument/2006/relationships/hyperlink" Id="rId347" Target="https://doi.org/10.1038/s41586-018-0805-8" TargetMode="External" /><Relationship Type="http://schemas.openxmlformats.org/officeDocument/2006/relationships/hyperlink" Id="rId338" Target="https://doi.org/10.1038/s41598-021-83597-z" TargetMode="External" /><Relationship Type="http://schemas.openxmlformats.org/officeDocument/2006/relationships/hyperlink" Id="rId304" Target="https://doi.org/10.1063/1.44433" TargetMode="External" /><Relationship Type="http://schemas.openxmlformats.org/officeDocument/2006/relationships/hyperlink" Id="rId336" Target="https://doi.org/10.1111/GCB.14108" TargetMode="External" /><Relationship Type="http://schemas.openxmlformats.org/officeDocument/2006/relationships/hyperlink" Id="rId419" Target="https://doi.org/10.1111/conl.12566" TargetMode="External" /><Relationship Type="http://schemas.openxmlformats.org/officeDocument/2006/relationships/hyperlink" Id="rId424" Target="https://doi.org/10.1127/0340-269X/2003/0033-0187" TargetMode="External" /><Relationship Type="http://schemas.openxmlformats.org/officeDocument/2006/relationships/hyperlink" Id="rId222" Target="https://doi.org/10.1139/cjfas-2016-0137" TargetMode="External" /><Relationship Type="http://schemas.openxmlformats.org/officeDocument/2006/relationships/hyperlink" Id="rId436" Target="https://doi.org/10.1155/2017/1353691" TargetMode="External" /><Relationship Type="http://schemas.openxmlformats.org/officeDocument/2006/relationships/hyperlink" Id="rId298" Target="https://doi.org/10.1177/0309133309339563" TargetMode="External" /><Relationship Type="http://schemas.openxmlformats.org/officeDocument/2006/relationships/hyperlink" Id="rId249" Target="https://doi.org/10.15468/n4ak6x" TargetMode="External" /><Relationship Type="http://schemas.openxmlformats.org/officeDocument/2006/relationships/hyperlink" Id="rId422" Target="https://doi.org/10.1641/0006-3568(2004)054[0523:UISTSE]2.0.CO;2" TargetMode="External" /><Relationship Type="http://schemas.openxmlformats.org/officeDocument/2006/relationships/hyperlink" Id="rId403" Target="https://doi.org/10.2307/2657019" TargetMode="External" /><Relationship Type="http://schemas.openxmlformats.org/officeDocument/2006/relationships/hyperlink" Id="rId389" Target="https://doi.org/10.3389/fevo.2021.767548" TargetMode="External" /><Relationship Type="http://schemas.openxmlformats.org/officeDocument/2006/relationships/hyperlink" Id="rId381" Target="https://doi.org/10.3389/fmars.2022.1004012" TargetMode="External" /><Relationship Type="http://schemas.openxmlformats.org/officeDocument/2006/relationships/hyperlink" Id="rId219" Target="https://doi.org/10.3390/RS14020307" TargetMode="External" /><Relationship Type="http://schemas.openxmlformats.org/officeDocument/2006/relationships/hyperlink" Id="rId283" Target="https://doi.org/10.3390/app8122688" TargetMode="External" /><Relationship Type="http://schemas.openxmlformats.org/officeDocument/2006/relationships/hyperlink" Id="rId325" Target="https://doi.org/10.3390/rs11060704" TargetMode="External" /><Relationship Type="http://schemas.openxmlformats.org/officeDocument/2006/relationships/hyperlink" Id="rId361" Target="https://doi.org/10.3390/rs12233870" TargetMode="External" /><Relationship Type="http://schemas.openxmlformats.org/officeDocument/2006/relationships/hyperlink" Id="rId393" Target="https://doi.org/10.3390/rs13081408" TargetMode="External" /><Relationship Type="http://schemas.openxmlformats.org/officeDocument/2006/relationships/hyperlink" Id="rId256" Target="https://doi.org/10.3390/rs14020346" TargetMode="External" /><Relationship Type="http://schemas.openxmlformats.org/officeDocument/2006/relationships/hyperlink" Id="rId270" Target="https://doi.org/10.4319/lo.2003.48.1_part_2.0464" TargetMode="External" /><Relationship Type="http://schemas.openxmlformats.org/officeDocument/2006/relationships/hyperlink" Id="rId365" Target="https://doi.org/10.5281/zenodo.3463051" TargetMode="External" /><Relationship Type="http://schemas.openxmlformats.org/officeDocument/2006/relationships/hyperlink" Id="rId278" Target="https://github.com/koalaverse/vip/" TargetMode="External" /><Relationship Type="http://schemas.openxmlformats.org/officeDocument/2006/relationships/hyperlink" Id="rId306" Target="https://github.com/tidymodels/yardstick" TargetMode="External" /><Relationship Type="http://schemas.openxmlformats.org/officeDocument/2006/relationships/hyperlink" Id="rId359" Target="https://github.com/vegandevs/vegan" TargetMode="External" /><Relationship Type="http://schemas.openxmlformats.org/officeDocument/2006/relationships/hyperlink" Id="rId433" Target="https://imbs-hl.github.io/ranger/" TargetMode="External" /><Relationship Type="http://schemas.openxmlformats.org/officeDocument/2006/relationships/hyperlink" Id="rId217" Target="https://ipbes.net/global-assessment%0Ahttps://ipbes.net/global-assessment-report-biodiversity-ecosystem-services" TargetMode="External" /><Relationship Type="http://schemas.openxmlformats.org/officeDocument/2006/relationships/hyperlink" Id="rId267" Target="https://rsample.tidymodels.org" TargetMode="External" /><Relationship Type="http://schemas.openxmlformats.org/officeDocument/2006/relationships/hyperlink" Id="rId400" Target="https://services.data.shom.fr/geonetwork/srv/fre/catalog.search#/metadata/BATHYMETRIE_LITTO3D_BZH_2018_2021.xml" TargetMode="External" /><Relationship Type="http://schemas.openxmlformats.org/officeDocument/2006/relationships/hyperlink" Id="rId374" Target="https://www.R-project.org/" TargetMode="External" /><Relationship Type="http://schemas.openxmlformats.org/officeDocument/2006/relationships/hyperlink" Id="rId196" Target="https://www.agisoft.com/" TargetMode="External" /><Relationship Type="http://schemas.openxmlformats.org/officeDocument/2006/relationships/hyperlink" Id="rId294" Target="https://www.ign.fr" TargetMode="External" /><Relationship Type="http://schemas.openxmlformats.org/officeDocument/2006/relationships/hyperlink" Id="rId398" Target="https://www.shom.fr" TargetMode="External" /><Relationship Type="http://schemas.openxmlformats.org/officeDocument/2006/relationships/hyperlink" Id="rId308"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199" Target="http://prisma.asi.it/missionselect/docs/PRISMA%20Product%20Specifications_Is2_3.pdf" TargetMode="External" /><Relationship Type="http://schemas.openxmlformats.org/officeDocument/2006/relationships/hyperlink" Id="rId342"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28" Target="https://doi.org/10.1007/s00227-012-1987-5" TargetMode="External" /><Relationship Type="http://schemas.openxmlformats.org/officeDocument/2006/relationships/hyperlink" Id="rId212" Target="https://doi.org/10.1007/s003380050055" TargetMode="External" /><Relationship Type="http://schemas.openxmlformats.org/officeDocument/2006/relationships/hyperlink" Id="rId214" Target="https://doi.org/10.1007/s12237-021-00949-8" TargetMode="External" /><Relationship Type="http://schemas.openxmlformats.org/officeDocument/2006/relationships/hyperlink" Id="rId417" Target="https://doi.org/10.1007/s13280-018-1115-y" TargetMode="External" /><Relationship Type="http://schemas.openxmlformats.org/officeDocument/2006/relationships/hyperlink" Id="rId231" Target="https://doi.org/10.1016/j.algal.2017.04.021" TargetMode="External" /><Relationship Type="http://schemas.openxmlformats.org/officeDocument/2006/relationships/hyperlink" Id="rId209" Target="https://doi.org/10.1016/j.aquabot.2009.11.006" TargetMode="External" /><Relationship Type="http://schemas.openxmlformats.org/officeDocument/2006/relationships/hyperlink" Id="rId226" Target="https://doi.org/10.1016/j.csr.2013.01.010" TargetMode="External" /><Relationship Type="http://schemas.openxmlformats.org/officeDocument/2006/relationships/hyperlink" Id="rId239" Target="https://doi.org/10.1016/j.ecolind.2020.107018" TargetMode="External" /><Relationship Type="http://schemas.openxmlformats.org/officeDocument/2006/relationships/hyperlink" Id="rId356" Target="https://doi.org/10.1016/j.ecolind.2020.107184" TargetMode="External" /><Relationship Type="http://schemas.openxmlformats.org/officeDocument/2006/relationships/hyperlink" Id="rId441" Target="https://doi.org/10.1016/j.ecolind.2021.108033" TargetMode="External" /><Relationship Type="http://schemas.openxmlformats.org/officeDocument/2006/relationships/hyperlink" Id="rId387" Target="https://doi.org/10.1016/j.ecoser.2022.101414" TargetMode="External" /><Relationship Type="http://schemas.openxmlformats.org/officeDocument/2006/relationships/hyperlink" Id="rId310" Target="https://doi.org/10.1016/j.ecss.2005.12.004" TargetMode="External" /><Relationship Type="http://schemas.openxmlformats.org/officeDocument/2006/relationships/hyperlink" Id="rId274" Target="https://doi.org/10.1016/j.ecss.2021.107320" TargetMode="External" /><Relationship Type="http://schemas.openxmlformats.org/officeDocument/2006/relationships/hyperlink" Id="rId289" Target="https://doi.org/10.1016/j.envpol.2021.117731" TargetMode="External" /><Relationship Type="http://schemas.openxmlformats.org/officeDocument/2006/relationships/hyperlink" Id="rId204" Target="https://doi.org/10.1016/j.jembe.2013.04.012" TargetMode="External" /><Relationship Type="http://schemas.openxmlformats.org/officeDocument/2006/relationships/hyperlink" Id="rId332" Target="https://doi.org/10.1016/j.jphotobiol.2013.10.005" TargetMode="External" /><Relationship Type="http://schemas.openxmlformats.org/officeDocument/2006/relationships/hyperlink" Id="rId395" Target="https://doi.org/10.1016/j.marenvres.2021.105475" TargetMode="External" /><Relationship Type="http://schemas.openxmlformats.org/officeDocument/2006/relationships/hyperlink" Id="rId411" Target="https://doi.org/10.1016/j.marpolbul.2017.06.075" TargetMode="External" /><Relationship Type="http://schemas.openxmlformats.org/officeDocument/2006/relationships/hyperlink" Id="rId431" Target="https://doi.org/10.1016/j.ress.2015.05.018" TargetMode="External" /><Relationship Type="http://schemas.openxmlformats.org/officeDocument/2006/relationships/hyperlink" Id="rId207" Target="https://doi.org/10.1016/j.rse.2010.12.008" TargetMode="External" /><Relationship Type="http://schemas.openxmlformats.org/officeDocument/2006/relationships/hyperlink" Id="rId253" Target="https://doi.org/10.1016/j.rse.2015.01.027" TargetMode="External" /><Relationship Type="http://schemas.openxmlformats.org/officeDocument/2006/relationships/hyperlink" Id="rId286" Target="https://doi.org/10.1016/j.rse.2015.05.023" TargetMode="External" /><Relationship Type="http://schemas.openxmlformats.org/officeDocument/2006/relationships/hyperlink" Id="rId292" Target="https://doi.org/10.1016/j.rse.2017.01.037" TargetMode="External" /><Relationship Type="http://schemas.openxmlformats.org/officeDocument/2006/relationships/hyperlink" Id="rId351" Target="https://doi.org/10.1016/j.rse.2018.10.032" TargetMode="External" /><Relationship Type="http://schemas.openxmlformats.org/officeDocument/2006/relationships/hyperlink" Id="rId445" Target="https://doi.org/10.1016/j.rse.2020.112020" TargetMode="External" /><Relationship Type="http://schemas.openxmlformats.org/officeDocument/2006/relationships/hyperlink" Id="rId244" Target="https://doi.org/10.1016/j.rse.2023.113554" TargetMode="External" /><Relationship Type="http://schemas.openxmlformats.org/officeDocument/2006/relationships/hyperlink" Id="rId340" Target="https://doi.org/10.1017/s0031182002001476" TargetMode="External" /><Relationship Type="http://schemas.openxmlformats.org/officeDocument/2006/relationships/hyperlink" Id="rId347" Target="https://doi.org/10.1038/s41586-018-0805-8" TargetMode="External" /><Relationship Type="http://schemas.openxmlformats.org/officeDocument/2006/relationships/hyperlink" Id="rId338" Target="https://doi.org/10.1038/s41598-021-83597-z" TargetMode="External" /><Relationship Type="http://schemas.openxmlformats.org/officeDocument/2006/relationships/hyperlink" Id="rId304" Target="https://doi.org/10.1063/1.44433" TargetMode="External" /><Relationship Type="http://schemas.openxmlformats.org/officeDocument/2006/relationships/hyperlink" Id="rId336" Target="https://doi.org/10.1111/GCB.14108" TargetMode="External" /><Relationship Type="http://schemas.openxmlformats.org/officeDocument/2006/relationships/hyperlink" Id="rId419" Target="https://doi.org/10.1111/conl.12566" TargetMode="External" /><Relationship Type="http://schemas.openxmlformats.org/officeDocument/2006/relationships/hyperlink" Id="rId424" Target="https://doi.org/10.1127/0340-269X/2003/0033-0187" TargetMode="External" /><Relationship Type="http://schemas.openxmlformats.org/officeDocument/2006/relationships/hyperlink" Id="rId222" Target="https://doi.org/10.1139/cjfas-2016-0137" TargetMode="External" /><Relationship Type="http://schemas.openxmlformats.org/officeDocument/2006/relationships/hyperlink" Id="rId436" Target="https://doi.org/10.1155/2017/1353691" TargetMode="External" /><Relationship Type="http://schemas.openxmlformats.org/officeDocument/2006/relationships/hyperlink" Id="rId298" Target="https://doi.org/10.1177/0309133309339563" TargetMode="External" /><Relationship Type="http://schemas.openxmlformats.org/officeDocument/2006/relationships/hyperlink" Id="rId249" Target="https://doi.org/10.15468/n4ak6x" TargetMode="External" /><Relationship Type="http://schemas.openxmlformats.org/officeDocument/2006/relationships/hyperlink" Id="rId422" Target="https://doi.org/10.1641/0006-3568(2004)054[0523:UISTSE]2.0.CO;2" TargetMode="External" /><Relationship Type="http://schemas.openxmlformats.org/officeDocument/2006/relationships/hyperlink" Id="rId403" Target="https://doi.org/10.2307/2657019" TargetMode="External" /><Relationship Type="http://schemas.openxmlformats.org/officeDocument/2006/relationships/hyperlink" Id="rId389" Target="https://doi.org/10.3389/fevo.2021.767548" TargetMode="External" /><Relationship Type="http://schemas.openxmlformats.org/officeDocument/2006/relationships/hyperlink" Id="rId381" Target="https://doi.org/10.3389/fmars.2022.1004012" TargetMode="External" /><Relationship Type="http://schemas.openxmlformats.org/officeDocument/2006/relationships/hyperlink" Id="rId219" Target="https://doi.org/10.3390/RS14020307" TargetMode="External" /><Relationship Type="http://schemas.openxmlformats.org/officeDocument/2006/relationships/hyperlink" Id="rId283" Target="https://doi.org/10.3390/app8122688" TargetMode="External" /><Relationship Type="http://schemas.openxmlformats.org/officeDocument/2006/relationships/hyperlink" Id="rId325" Target="https://doi.org/10.3390/rs11060704" TargetMode="External" /><Relationship Type="http://schemas.openxmlformats.org/officeDocument/2006/relationships/hyperlink" Id="rId361" Target="https://doi.org/10.3390/rs12233870" TargetMode="External" /><Relationship Type="http://schemas.openxmlformats.org/officeDocument/2006/relationships/hyperlink" Id="rId393" Target="https://doi.org/10.3390/rs13081408" TargetMode="External" /><Relationship Type="http://schemas.openxmlformats.org/officeDocument/2006/relationships/hyperlink" Id="rId256" Target="https://doi.org/10.3390/rs14020346" TargetMode="External" /><Relationship Type="http://schemas.openxmlformats.org/officeDocument/2006/relationships/hyperlink" Id="rId270" Target="https://doi.org/10.4319/lo.2003.48.1_part_2.0464" TargetMode="External" /><Relationship Type="http://schemas.openxmlformats.org/officeDocument/2006/relationships/hyperlink" Id="rId365" Target="https://doi.org/10.5281/zenodo.3463051" TargetMode="External" /><Relationship Type="http://schemas.openxmlformats.org/officeDocument/2006/relationships/hyperlink" Id="rId278" Target="https://github.com/koalaverse/vip/" TargetMode="External" /><Relationship Type="http://schemas.openxmlformats.org/officeDocument/2006/relationships/hyperlink" Id="rId306" Target="https://github.com/tidymodels/yardstick" TargetMode="External" /><Relationship Type="http://schemas.openxmlformats.org/officeDocument/2006/relationships/hyperlink" Id="rId359" Target="https://github.com/vegandevs/vegan" TargetMode="External" /><Relationship Type="http://schemas.openxmlformats.org/officeDocument/2006/relationships/hyperlink" Id="rId433" Target="https://imbs-hl.github.io/ranger/" TargetMode="External" /><Relationship Type="http://schemas.openxmlformats.org/officeDocument/2006/relationships/hyperlink" Id="rId217" Target="https://ipbes.net/global-assessment%0Ahttps://ipbes.net/global-assessment-report-biodiversity-ecosystem-services" TargetMode="External" /><Relationship Type="http://schemas.openxmlformats.org/officeDocument/2006/relationships/hyperlink" Id="rId267" Target="https://rsample.tidymodels.org" TargetMode="External" /><Relationship Type="http://schemas.openxmlformats.org/officeDocument/2006/relationships/hyperlink" Id="rId400" Target="https://services.data.shom.fr/geonetwork/srv/fre/catalog.search#/metadata/BATHYMETRIE_LITTO3D_BZH_2018_2021.xml" TargetMode="External" /><Relationship Type="http://schemas.openxmlformats.org/officeDocument/2006/relationships/hyperlink" Id="rId374" Target="https://www.R-project.org/" TargetMode="External" /><Relationship Type="http://schemas.openxmlformats.org/officeDocument/2006/relationships/hyperlink" Id="rId196" Target="https://www.agisoft.com/" TargetMode="External" /><Relationship Type="http://schemas.openxmlformats.org/officeDocument/2006/relationships/hyperlink" Id="rId294" Target="https://www.ign.fr" TargetMode="External" /><Relationship Type="http://schemas.openxmlformats.org/officeDocument/2006/relationships/hyperlink" Id="rId398" Target="https://www.shom.fr" TargetMode="External" /><Relationship Type="http://schemas.openxmlformats.org/officeDocument/2006/relationships/hyperlink" Id="rId308"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2024-12-24T14:21:29Z</dcterms:created>
  <dcterms:modified xsi:type="dcterms:W3CDTF">2024-12-24T14:21:29Z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